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1B" w:rsidRDefault="00180A1B" w:rsidP="00C8181C">
      <w:pPr>
        <w:pStyle w:val="1"/>
      </w:pPr>
      <w:r w:rsidRPr="00180A1B">
        <w:rPr>
          <w:noProof/>
        </w:rPr>
        <w:drawing>
          <wp:inline distT="0" distB="0" distL="0" distR="0">
            <wp:extent cx="5937885" cy="8289290"/>
            <wp:effectExtent l="19050" t="0" r="5715" b="0"/>
            <wp:docPr id="3" name="Рисунок 1" descr="C:\Users\t.sidorenko\Desktop\Аспиринтура наши сканы\Г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dorenko\Desktop\Аспиринтура наши сканы\ГИА.jpg"/>
                    <pic:cNvPicPr>
                      <a:picLocks noChangeAspect="1" noChangeArrowheads="1"/>
                    </pic:cNvPicPr>
                  </pic:nvPicPr>
                  <pic:blipFill>
                    <a:blip r:embed="rId11" cstate="print"/>
                    <a:srcRect/>
                    <a:stretch>
                      <a:fillRect/>
                    </a:stretch>
                  </pic:blipFill>
                  <pic:spPr bwMode="auto">
                    <a:xfrm>
                      <a:off x="0" y="0"/>
                      <a:ext cx="5937885" cy="8289290"/>
                    </a:xfrm>
                    <a:prstGeom prst="rect">
                      <a:avLst/>
                    </a:prstGeom>
                    <a:noFill/>
                    <a:ln w="9525">
                      <a:noFill/>
                      <a:miter lim="800000"/>
                      <a:headEnd/>
                      <a:tailEnd/>
                    </a:ln>
                  </pic:spPr>
                </pic:pic>
              </a:graphicData>
            </a:graphic>
          </wp:inline>
        </w:drawing>
      </w:r>
    </w:p>
    <w:p w:rsidR="00180A1B" w:rsidRDefault="00180A1B" w:rsidP="00180A1B"/>
    <w:p w:rsidR="00180A1B" w:rsidRDefault="00180A1B" w:rsidP="00180A1B">
      <w:r w:rsidRPr="00180A1B">
        <w:rPr>
          <w:noProof/>
        </w:rPr>
        <w:lastRenderedPageBreak/>
        <w:drawing>
          <wp:inline distT="0" distB="0" distL="0" distR="0">
            <wp:extent cx="5937885" cy="8348345"/>
            <wp:effectExtent l="19050" t="0" r="5715" b="0"/>
            <wp:docPr id="4" name="Рисунок 2" descr="C:\Users\t.sidorenko\Desktop\Аспиринтура наши сканы\ГИ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Аспиринтура наши сканы\ГИА 3.jpg"/>
                    <pic:cNvPicPr>
                      <a:picLocks noChangeAspect="1" noChangeArrowheads="1"/>
                    </pic:cNvPicPr>
                  </pic:nvPicPr>
                  <pic:blipFill>
                    <a:blip r:embed="rId12" cstate="print"/>
                    <a:srcRect/>
                    <a:stretch>
                      <a:fillRect/>
                    </a:stretch>
                  </pic:blipFill>
                  <pic:spPr bwMode="auto">
                    <a:xfrm>
                      <a:off x="0" y="0"/>
                      <a:ext cx="5937885" cy="8348345"/>
                    </a:xfrm>
                    <a:prstGeom prst="rect">
                      <a:avLst/>
                    </a:prstGeom>
                    <a:noFill/>
                    <a:ln w="9525">
                      <a:noFill/>
                      <a:miter lim="800000"/>
                      <a:headEnd/>
                      <a:tailEnd/>
                    </a:ln>
                  </pic:spPr>
                </pic:pic>
              </a:graphicData>
            </a:graphic>
          </wp:inline>
        </w:drawing>
      </w:r>
    </w:p>
    <w:p w:rsidR="00180A1B" w:rsidRDefault="00180A1B" w:rsidP="00180A1B"/>
    <w:p w:rsidR="00180A1B" w:rsidRPr="00180A1B" w:rsidRDefault="00180A1B" w:rsidP="00180A1B">
      <w:pPr>
        <w:sectPr w:rsidR="00180A1B" w:rsidRPr="00180A1B" w:rsidSect="00C8181C">
          <w:footerReference w:type="default" r:id="rId13"/>
          <w:pgSz w:w="11906" w:h="16838"/>
          <w:pgMar w:top="1134" w:right="850" w:bottom="1134" w:left="1701" w:header="708" w:footer="708" w:gutter="0"/>
          <w:cols w:space="708"/>
          <w:titlePg/>
          <w:docGrid w:linePitch="360"/>
        </w:sectPr>
      </w:pPr>
    </w:p>
    <w:p w:rsidR="00ED3CD7" w:rsidRPr="002543C4" w:rsidRDefault="00ED3CD7" w:rsidP="00C8181C">
      <w:pPr>
        <w:pStyle w:val="1"/>
      </w:pPr>
      <w:r w:rsidRPr="002543C4">
        <w:lastRenderedPageBreak/>
        <w:t>1. Общие положения</w:t>
      </w:r>
    </w:p>
    <w:p w:rsidR="00303348" w:rsidRPr="00B7531F" w:rsidRDefault="00A44BDD" w:rsidP="00ED3CD7">
      <w:pPr>
        <w:ind w:right="170"/>
      </w:pPr>
      <w:r w:rsidRPr="002543C4">
        <w:t xml:space="preserve">Целью </w:t>
      </w:r>
      <w:r w:rsidR="00717974" w:rsidRPr="002543C4">
        <w:t xml:space="preserve">государственной </w:t>
      </w:r>
      <w:r w:rsidRPr="002543C4">
        <w:t xml:space="preserve">итоговой аттестации является установление соответствия уровня профессиональной подготовки выпускников требованиям федерального государственного </w:t>
      </w:r>
      <w:r w:rsidRPr="00B7531F">
        <w:t>образовательного стандарта.</w:t>
      </w:r>
    </w:p>
    <w:p w:rsidR="000A2D58" w:rsidRPr="00B7531F" w:rsidRDefault="000A2D58" w:rsidP="000A2D58">
      <w:pPr>
        <w:ind w:right="170"/>
      </w:pPr>
      <w:r w:rsidRPr="00B7531F">
        <w:t xml:space="preserve">В соответствии с требованиями ФГОС </w:t>
      </w:r>
      <w:proofErr w:type="gramStart"/>
      <w:r w:rsidRPr="00B7531F">
        <w:t>ВО</w:t>
      </w:r>
      <w:proofErr w:type="gramEnd"/>
      <w:r w:rsidRPr="00B7531F">
        <w:t xml:space="preserve"> итоговые аттестационные испытания по направлению подготовки </w:t>
      </w:r>
      <w:r w:rsidR="00DD0B6B" w:rsidRPr="00B7531F">
        <w:t>47.06.01</w:t>
      </w:r>
      <w:r w:rsidRPr="00B7531F">
        <w:t xml:space="preserve"> </w:t>
      </w:r>
      <w:r w:rsidR="00DD0B6B" w:rsidRPr="00B7531F">
        <w:t>Философия, этика и религиоведение</w:t>
      </w:r>
      <w:r w:rsidRPr="00B7531F">
        <w:rPr>
          <w:i/>
        </w:rPr>
        <w:t xml:space="preserve"> </w:t>
      </w:r>
      <w:r w:rsidRPr="00B7531F">
        <w:t>включают:</w:t>
      </w:r>
    </w:p>
    <w:p w:rsidR="000A2D58" w:rsidRPr="00B7531F" w:rsidRDefault="000A2D58" w:rsidP="000A2D58">
      <w:pPr>
        <w:pStyle w:val="a5"/>
        <w:spacing w:before="120" w:after="120"/>
        <w:ind w:left="709" w:hanging="142"/>
        <w:contextualSpacing w:val="0"/>
        <w:jc w:val="left"/>
      </w:pPr>
      <w:r w:rsidRPr="00B7531F">
        <w:t xml:space="preserve">– </w:t>
      </w:r>
      <w:r w:rsidR="002543C4" w:rsidRPr="00B7531F">
        <w:t>подготовка к сдаче и сдача государственного экзамена</w:t>
      </w:r>
      <w:r w:rsidRPr="00B7531F">
        <w:t>;</w:t>
      </w:r>
    </w:p>
    <w:p w:rsidR="00DC160C" w:rsidRPr="00B7531F" w:rsidRDefault="00DC160C" w:rsidP="00DC160C">
      <w:pPr>
        <w:pStyle w:val="a5"/>
        <w:spacing w:before="120" w:after="120"/>
        <w:ind w:left="709" w:hanging="142"/>
        <w:contextualSpacing w:val="0"/>
        <w:jc w:val="left"/>
      </w:pPr>
      <w:r w:rsidRPr="00B7531F">
        <w:rPr>
          <w:i/>
        </w:rPr>
        <w:t xml:space="preserve">– </w:t>
      </w:r>
      <w:r w:rsidR="002543C4" w:rsidRPr="00B7531F">
        <w:t xml:space="preserve">представление научного доклада об основных результатах </w:t>
      </w:r>
      <w:proofErr w:type="gramStart"/>
      <w:r w:rsidR="002543C4" w:rsidRPr="00B7531F">
        <w:t>подготовленной</w:t>
      </w:r>
      <w:proofErr w:type="gramEnd"/>
      <w:r w:rsidR="002543C4" w:rsidRPr="00B7531F">
        <w:t xml:space="preserve"> НКР.</w:t>
      </w:r>
    </w:p>
    <w:p w:rsidR="00A44BDD" w:rsidRPr="00B7531F" w:rsidRDefault="00B82BBA" w:rsidP="00ED3CD7">
      <w:pPr>
        <w:ind w:right="170"/>
      </w:pPr>
      <w:r w:rsidRPr="00B7531F">
        <w:t>Аспирант</w:t>
      </w:r>
      <w:r w:rsidR="00A6589F" w:rsidRPr="00B7531F">
        <w:t xml:space="preserve"> </w:t>
      </w:r>
      <w:r w:rsidR="00A44BDD" w:rsidRPr="00B7531F">
        <w:t xml:space="preserve">по направлению подготовки </w:t>
      </w:r>
      <w:r w:rsidR="00E97F24" w:rsidRPr="00B7531F">
        <w:t>47</w:t>
      </w:r>
      <w:r w:rsidR="00E13814" w:rsidRPr="00B7531F">
        <w:t>.</w:t>
      </w:r>
      <w:r w:rsidR="002B1FCC" w:rsidRPr="00B7531F">
        <w:t>06</w:t>
      </w:r>
      <w:r w:rsidR="00E97F24" w:rsidRPr="00B7531F">
        <w:t>.01 Философия, этика и религиоведение</w:t>
      </w:r>
      <w:r w:rsidR="00A44BDD" w:rsidRPr="00B7531F">
        <w:t xml:space="preserve"> должен быть подготовлен к решению профессиональных задач в соответствии с направленностью</w:t>
      </w:r>
      <w:r w:rsidR="00E13814" w:rsidRPr="00B7531F">
        <w:t xml:space="preserve"> (профилем)</w:t>
      </w:r>
      <w:r w:rsidR="00A44BDD" w:rsidRPr="00B7531F">
        <w:t xml:space="preserve"> </w:t>
      </w:r>
      <w:r w:rsidR="00703D9F" w:rsidRPr="00B7531F">
        <w:t>образовательной</w:t>
      </w:r>
      <w:r w:rsidR="00A44BDD" w:rsidRPr="00B7531F">
        <w:t xml:space="preserve"> программы </w:t>
      </w:r>
      <w:r w:rsidR="00E97F24" w:rsidRPr="00B7531F">
        <w:t>Онтология и теория познания</w:t>
      </w:r>
      <w:r w:rsidR="00AB232D" w:rsidRPr="00B7531F">
        <w:rPr>
          <w:i/>
        </w:rPr>
        <w:t xml:space="preserve"> </w:t>
      </w:r>
      <w:r w:rsidR="00A44BDD" w:rsidRPr="00B7531F">
        <w:t>и видам профессиональной деятельности:</w:t>
      </w:r>
    </w:p>
    <w:p w:rsidR="00A44BDD" w:rsidRPr="00B7531F" w:rsidRDefault="00AB232D" w:rsidP="00ED3CD7">
      <w:pPr>
        <w:ind w:right="170"/>
      </w:pPr>
      <w:r w:rsidRPr="00B7531F">
        <w:t>–</w:t>
      </w:r>
      <w:r w:rsidR="004D150A" w:rsidRPr="00B7531F">
        <w:t xml:space="preserve"> научно-исследоват</w:t>
      </w:r>
      <w:r w:rsidR="00363063" w:rsidRPr="00B7531F">
        <w:t>ельская деятельность в области гуманитарных наук, охватывающих мировоззренческую проблематику;</w:t>
      </w:r>
    </w:p>
    <w:p w:rsidR="00AB232D" w:rsidRPr="00B7531F" w:rsidRDefault="00AB232D" w:rsidP="003B414F">
      <w:pPr>
        <w:ind w:right="170"/>
      </w:pPr>
      <w:r w:rsidRPr="00B7531F">
        <w:t>–</w:t>
      </w:r>
      <w:r w:rsidR="004D150A" w:rsidRPr="00B7531F">
        <w:t xml:space="preserve"> п</w:t>
      </w:r>
      <w:r w:rsidR="00363063" w:rsidRPr="00B7531F">
        <w:t xml:space="preserve">реподавательская деятельность </w:t>
      </w:r>
      <w:r w:rsidR="003B414F" w:rsidRPr="00B7531F">
        <w:t>в области гуманитарных наук, охватывающих мировоззренческую проблематику.</w:t>
      </w:r>
    </w:p>
    <w:p w:rsidR="009D568F" w:rsidRPr="002543C4" w:rsidRDefault="009D568F" w:rsidP="004133D4">
      <w:pPr>
        <w:ind w:right="170"/>
        <w:rPr>
          <w:i/>
        </w:rPr>
      </w:pPr>
      <w:r w:rsidRPr="00B7531F">
        <w:t xml:space="preserve">В соответствии с </w:t>
      </w:r>
      <w:r w:rsidR="001A16CB" w:rsidRPr="00B7531F">
        <w:t>преподавательской деятельностью</w:t>
      </w:r>
      <w:r w:rsidR="001A16CB" w:rsidRPr="002543C4">
        <w:rPr>
          <w:color w:val="000000" w:themeColor="text1"/>
        </w:rPr>
        <w:t xml:space="preserve">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универ</w:t>
      </w:r>
      <w:r w:rsidR="00284656">
        <w:t xml:space="preserve">сальными и </w:t>
      </w:r>
      <w:proofErr w:type="spellStart"/>
      <w:r w:rsidR="00284656">
        <w:t>общепрофессиональными</w:t>
      </w:r>
      <w:proofErr w:type="spellEnd"/>
      <w:r w:rsidRPr="002543C4">
        <w:t xml:space="preserve"> компетенциями:</w:t>
      </w:r>
    </w:p>
    <w:p w:rsidR="009D568F" w:rsidRDefault="004E6012" w:rsidP="009D568F">
      <w:pPr>
        <w:ind w:right="170"/>
        <w:rPr>
          <w:color w:val="000000"/>
          <w:spacing w:val="2"/>
        </w:rPr>
      </w:pPr>
      <w:r w:rsidRPr="002543C4">
        <w:rPr>
          <w:color w:val="000000"/>
          <w:spacing w:val="2"/>
        </w:rPr>
        <w:t xml:space="preserve">– </w:t>
      </w:r>
      <w:r w:rsidR="007B46A1" w:rsidRPr="007B46A1">
        <w:rPr>
          <w:color w:val="000000"/>
          <w:spacing w:val="2"/>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w:t>
      </w:r>
      <w:r w:rsidR="007B46A1">
        <w:rPr>
          <w:color w:val="000000"/>
          <w:spacing w:val="2"/>
        </w:rPr>
        <w:t>ле в междисциплинарных областях (УК-1</w:t>
      </w:r>
      <w:r w:rsidR="009D568F" w:rsidRPr="002543C4">
        <w:rPr>
          <w:color w:val="000000"/>
          <w:spacing w:val="2"/>
        </w:rPr>
        <w:t>);</w:t>
      </w:r>
    </w:p>
    <w:p w:rsidR="0050026B" w:rsidRDefault="0050026B" w:rsidP="009D568F">
      <w:pPr>
        <w:ind w:right="170"/>
        <w:rPr>
          <w:color w:val="000000"/>
          <w:spacing w:val="2"/>
        </w:rPr>
      </w:pPr>
      <w:r w:rsidRPr="002543C4">
        <w:rPr>
          <w:color w:val="000000"/>
          <w:spacing w:val="2"/>
        </w:rPr>
        <w:t>–</w:t>
      </w:r>
      <w:r>
        <w:rPr>
          <w:color w:val="000000"/>
          <w:spacing w:val="2"/>
        </w:rPr>
        <w:t xml:space="preserve"> </w:t>
      </w:r>
      <w:r w:rsidRPr="0050026B">
        <w:rPr>
          <w:color w:val="000000"/>
          <w:spacing w:val="2"/>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Pr>
          <w:color w:val="000000"/>
          <w:spacing w:val="2"/>
        </w:rPr>
        <w:t xml:space="preserve"> (УК-2);</w:t>
      </w:r>
    </w:p>
    <w:p w:rsidR="0050026B" w:rsidRDefault="00AB5FDD" w:rsidP="009D568F">
      <w:pPr>
        <w:ind w:right="170"/>
        <w:rPr>
          <w:color w:val="000000"/>
          <w:spacing w:val="2"/>
        </w:rPr>
      </w:pPr>
      <w:r w:rsidRPr="002543C4">
        <w:rPr>
          <w:color w:val="000000"/>
          <w:spacing w:val="2"/>
        </w:rPr>
        <w:t>–</w:t>
      </w:r>
      <w:r>
        <w:rPr>
          <w:color w:val="000000"/>
          <w:spacing w:val="2"/>
        </w:rPr>
        <w:t xml:space="preserve"> </w:t>
      </w:r>
      <w:r w:rsidRPr="00AB5FDD">
        <w:rPr>
          <w:color w:val="000000"/>
          <w:spacing w:val="2"/>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Pr>
          <w:color w:val="000000"/>
          <w:spacing w:val="2"/>
        </w:rPr>
        <w:t xml:space="preserve"> (УК-3);</w:t>
      </w:r>
    </w:p>
    <w:p w:rsidR="0050026B" w:rsidRDefault="00AB5FDD" w:rsidP="00AB5FDD">
      <w:pPr>
        <w:ind w:right="170"/>
        <w:rPr>
          <w:color w:val="000000"/>
          <w:spacing w:val="2"/>
        </w:rPr>
      </w:pPr>
      <w:r w:rsidRPr="002543C4">
        <w:rPr>
          <w:color w:val="000000"/>
          <w:spacing w:val="2"/>
        </w:rPr>
        <w:t>–</w:t>
      </w:r>
      <w:r>
        <w:rPr>
          <w:color w:val="000000"/>
          <w:spacing w:val="2"/>
        </w:rPr>
        <w:t xml:space="preserve"> </w:t>
      </w:r>
      <w:r w:rsidRPr="00AB5FDD">
        <w:rPr>
          <w:color w:val="000000"/>
          <w:spacing w:val="2"/>
        </w:rPr>
        <w:t>способностью планировать и решать задачи собственного профессионального и личностного развития</w:t>
      </w:r>
      <w:r>
        <w:rPr>
          <w:color w:val="000000"/>
          <w:spacing w:val="2"/>
        </w:rPr>
        <w:t xml:space="preserve"> (УК-5);</w:t>
      </w:r>
    </w:p>
    <w:p w:rsidR="0050026B" w:rsidRPr="002543C4" w:rsidRDefault="00AB5FDD" w:rsidP="009D568F">
      <w:pPr>
        <w:ind w:right="170"/>
        <w:rPr>
          <w:color w:val="000000"/>
          <w:spacing w:val="2"/>
        </w:rPr>
      </w:pPr>
      <w:r w:rsidRPr="002543C4">
        <w:rPr>
          <w:color w:val="000000"/>
          <w:spacing w:val="2"/>
        </w:rPr>
        <w:t>–</w:t>
      </w:r>
      <w:r>
        <w:rPr>
          <w:color w:val="000000"/>
          <w:spacing w:val="2"/>
        </w:rPr>
        <w:t xml:space="preserve"> </w:t>
      </w:r>
      <w:r w:rsidRPr="00AB5FDD">
        <w:rPr>
          <w:color w:val="000000"/>
          <w:spacing w:val="2"/>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color w:val="000000"/>
          <w:spacing w:val="2"/>
        </w:rPr>
        <w:t xml:space="preserve"> (ОПК-1);</w:t>
      </w:r>
    </w:p>
    <w:p w:rsidR="009D568F" w:rsidRPr="002543C4" w:rsidRDefault="009D568F" w:rsidP="009D568F">
      <w:pPr>
        <w:ind w:right="170"/>
        <w:rPr>
          <w:color w:val="000000"/>
          <w:spacing w:val="2"/>
        </w:rPr>
      </w:pPr>
      <w:r w:rsidRPr="002543C4">
        <w:rPr>
          <w:color w:val="000000"/>
          <w:spacing w:val="2"/>
        </w:rPr>
        <w:t xml:space="preserve">– </w:t>
      </w:r>
      <w:r w:rsidR="00AB5FDD" w:rsidRPr="00AB5FDD">
        <w:rPr>
          <w:color w:val="000000"/>
          <w:spacing w:val="2"/>
        </w:rPr>
        <w:t>готовностью к преподавательской деятельности по основным образовательным</w:t>
      </w:r>
      <w:r w:rsidR="00AB5FDD">
        <w:rPr>
          <w:color w:val="000000"/>
          <w:spacing w:val="2"/>
        </w:rPr>
        <w:t xml:space="preserve"> программам высшего образования </w:t>
      </w:r>
      <w:r w:rsidRPr="002543C4">
        <w:rPr>
          <w:color w:val="000000"/>
          <w:spacing w:val="2"/>
        </w:rPr>
        <w:t>(</w:t>
      </w:r>
      <w:r w:rsidR="004E6012" w:rsidRPr="002543C4">
        <w:rPr>
          <w:color w:val="000000"/>
          <w:spacing w:val="2"/>
        </w:rPr>
        <w:t>О</w:t>
      </w:r>
      <w:r w:rsidRPr="002543C4">
        <w:rPr>
          <w:color w:val="000000"/>
          <w:spacing w:val="2"/>
        </w:rPr>
        <w:t>ПК-</w:t>
      </w:r>
      <w:r w:rsidR="00AB5FDD">
        <w:rPr>
          <w:color w:val="000000"/>
          <w:spacing w:val="2"/>
        </w:rPr>
        <w:t>2</w:t>
      </w:r>
      <w:r w:rsidR="00284656">
        <w:rPr>
          <w:color w:val="000000"/>
          <w:spacing w:val="2"/>
        </w:rPr>
        <w:t>).</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w:t>
      </w:r>
      <w:proofErr w:type="spellStart"/>
      <w:r w:rsidRPr="002543C4">
        <w:t>общепрофессиональными</w:t>
      </w:r>
      <w:proofErr w:type="spellEnd"/>
      <w:r w:rsidRPr="002543C4">
        <w:t xml:space="preserve"> и профессиональными компетенциями:</w:t>
      </w:r>
    </w:p>
    <w:p w:rsidR="00471DB3" w:rsidRDefault="000A2D58" w:rsidP="00471DB3">
      <w:pPr>
        <w:ind w:right="170"/>
        <w:rPr>
          <w:color w:val="000000"/>
          <w:spacing w:val="2"/>
        </w:rPr>
      </w:pPr>
      <w:r w:rsidRPr="002543C4">
        <w:rPr>
          <w:color w:val="000000"/>
          <w:spacing w:val="2"/>
        </w:rPr>
        <w:t xml:space="preserve">– </w:t>
      </w:r>
      <w:r w:rsidR="00471DB3" w:rsidRPr="007B46A1">
        <w:rPr>
          <w:color w:val="000000"/>
          <w:spacing w:val="2"/>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w:t>
      </w:r>
      <w:r w:rsidR="00471DB3">
        <w:rPr>
          <w:color w:val="000000"/>
          <w:spacing w:val="2"/>
        </w:rPr>
        <w:t>ле в междисциплинарных областях (УК-1</w:t>
      </w:r>
      <w:r w:rsidR="00471DB3" w:rsidRPr="002543C4">
        <w:rPr>
          <w:color w:val="000000"/>
          <w:spacing w:val="2"/>
        </w:rPr>
        <w:t>);</w:t>
      </w:r>
    </w:p>
    <w:p w:rsidR="00471DB3" w:rsidRDefault="00471DB3" w:rsidP="000A2D58">
      <w:pPr>
        <w:ind w:right="170"/>
        <w:rPr>
          <w:color w:val="000000"/>
          <w:spacing w:val="2"/>
        </w:rPr>
      </w:pPr>
      <w:r w:rsidRPr="002543C4">
        <w:rPr>
          <w:color w:val="000000"/>
          <w:spacing w:val="2"/>
        </w:rPr>
        <w:lastRenderedPageBreak/>
        <w:t>–</w:t>
      </w:r>
      <w:r>
        <w:rPr>
          <w:color w:val="000000"/>
          <w:spacing w:val="2"/>
        </w:rPr>
        <w:t xml:space="preserve"> </w:t>
      </w:r>
      <w:r w:rsidRPr="00471DB3">
        <w:rPr>
          <w:color w:val="000000"/>
          <w:spacing w:val="2"/>
        </w:rPr>
        <w:t xml:space="preserve">готовностью использовать современные методы и технологии научной коммуникации на государственном и иностранном языках </w:t>
      </w:r>
      <w:r>
        <w:rPr>
          <w:color w:val="000000"/>
          <w:spacing w:val="2"/>
        </w:rPr>
        <w:t>(УК-4);</w:t>
      </w:r>
    </w:p>
    <w:p w:rsidR="00B00A97" w:rsidRPr="002543C4" w:rsidRDefault="00B00A97" w:rsidP="00B00A97">
      <w:pPr>
        <w:ind w:right="170"/>
        <w:rPr>
          <w:color w:val="000000"/>
          <w:spacing w:val="2"/>
        </w:rPr>
      </w:pPr>
      <w:r w:rsidRPr="002543C4">
        <w:rPr>
          <w:color w:val="000000"/>
          <w:spacing w:val="2"/>
        </w:rPr>
        <w:t>–</w:t>
      </w:r>
      <w:r>
        <w:rPr>
          <w:color w:val="000000"/>
          <w:spacing w:val="2"/>
        </w:rPr>
        <w:t xml:space="preserve"> </w:t>
      </w:r>
      <w:r w:rsidRPr="00AB5FDD">
        <w:rPr>
          <w:color w:val="000000"/>
          <w:spacing w:val="2"/>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color w:val="000000"/>
          <w:spacing w:val="2"/>
        </w:rPr>
        <w:t xml:space="preserve"> (ОПК-1);</w:t>
      </w:r>
    </w:p>
    <w:p w:rsidR="00B00A97" w:rsidRDefault="00B00A97" w:rsidP="000A2D58">
      <w:pPr>
        <w:ind w:right="170"/>
        <w:rPr>
          <w:color w:val="000000"/>
          <w:spacing w:val="2"/>
        </w:rPr>
      </w:pPr>
      <w:r w:rsidRPr="002543C4">
        <w:rPr>
          <w:color w:val="000000"/>
          <w:spacing w:val="2"/>
        </w:rPr>
        <w:t>–</w:t>
      </w:r>
      <w:r>
        <w:rPr>
          <w:color w:val="000000"/>
          <w:spacing w:val="2"/>
        </w:rPr>
        <w:t xml:space="preserve"> з</w:t>
      </w:r>
      <w:r w:rsidRPr="00B00A97">
        <w:rPr>
          <w:color w:val="000000"/>
          <w:spacing w:val="2"/>
        </w:rPr>
        <w:t>нание различных методов философского исследования и умение их использовать в профессиональной деятельности</w:t>
      </w:r>
      <w:r>
        <w:rPr>
          <w:color w:val="000000"/>
          <w:spacing w:val="2"/>
        </w:rPr>
        <w:t xml:space="preserve"> (ПК-1);</w:t>
      </w:r>
    </w:p>
    <w:p w:rsidR="00B00A97" w:rsidRDefault="00B00A97" w:rsidP="000A2D58">
      <w:pPr>
        <w:ind w:right="170"/>
        <w:rPr>
          <w:color w:val="000000"/>
          <w:spacing w:val="2"/>
        </w:rPr>
      </w:pPr>
      <w:r w:rsidRPr="002543C4">
        <w:rPr>
          <w:color w:val="000000"/>
          <w:spacing w:val="2"/>
        </w:rPr>
        <w:t>–</w:t>
      </w:r>
      <w:r>
        <w:rPr>
          <w:color w:val="000000"/>
          <w:spacing w:val="2"/>
        </w:rPr>
        <w:t xml:space="preserve"> </w:t>
      </w:r>
      <w:r w:rsidR="006B522A">
        <w:rPr>
          <w:color w:val="000000"/>
          <w:spacing w:val="2"/>
        </w:rPr>
        <w:t>с</w:t>
      </w:r>
      <w:r w:rsidR="006B522A" w:rsidRPr="006B522A">
        <w:rPr>
          <w:color w:val="000000"/>
          <w:spacing w:val="2"/>
        </w:rPr>
        <w:t xml:space="preserve">пособность реферирования и аннотирования научной литературы (в том числе на иностранном языке), навыки научного редактирования </w:t>
      </w:r>
      <w:r>
        <w:rPr>
          <w:color w:val="000000"/>
          <w:spacing w:val="2"/>
        </w:rPr>
        <w:t>(ПК-2);</w:t>
      </w:r>
    </w:p>
    <w:p w:rsidR="00B00A97" w:rsidRDefault="00B00A97" w:rsidP="000A2D58">
      <w:pPr>
        <w:ind w:right="170"/>
        <w:rPr>
          <w:color w:val="000000"/>
          <w:spacing w:val="2"/>
        </w:rPr>
      </w:pPr>
      <w:r w:rsidRPr="002543C4">
        <w:rPr>
          <w:color w:val="000000"/>
          <w:spacing w:val="2"/>
        </w:rPr>
        <w:t>–</w:t>
      </w:r>
      <w:r>
        <w:rPr>
          <w:color w:val="000000"/>
          <w:spacing w:val="2"/>
        </w:rPr>
        <w:t xml:space="preserve"> </w:t>
      </w:r>
      <w:r w:rsidR="006B522A">
        <w:rPr>
          <w:color w:val="000000"/>
          <w:spacing w:val="2"/>
        </w:rPr>
        <w:t>у</w:t>
      </w:r>
      <w:r w:rsidR="006B522A" w:rsidRPr="006B522A">
        <w:rPr>
          <w:color w:val="000000"/>
          <w:spacing w:val="2"/>
        </w:rPr>
        <w:t xml:space="preserve">мение пользоваться в процессе педагогической деятельности знаниями в области онтологии и теории познания, истории философии </w:t>
      </w:r>
      <w:r>
        <w:rPr>
          <w:color w:val="000000"/>
          <w:spacing w:val="2"/>
        </w:rPr>
        <w:t>(ПК-3).</w:t>
      </w:r>
    </w:p>
    <w:p w:rsidR="00ED3CD7" w:rsidRPr="002543C4" w:rsidRDefault="00ED3CD7" w:rsidP="00FE683B">
      <w:pPr>
        <w:pStyle w:val="1"/>
      </w:pPr>
      <w:r w:rsidRPr="002543C4">
        <w:t>2. Программа и порядок проведения государственного экзамена</w:t>
      </w:r>
    </w:p>
    <w:p w:rsidR="00ED3CD7" w:rsidRPr="00E22FDC" w:rsidRDefault="00ED3CD7" w:rsidP="00ED3CD7">
      <w:pPr>
        <w:ind w:right="170"/>
      </w:pPr>
      <w:r w:rsidRPr="002543C4">
        <w:t xml:space="preserve">К государственному </w:t>
      </w:r>
      <w:r w:rsidRPr="00E22FDC">
        <w:t>экзамену допускаются лица, успешно завершившие в полном объеме освоение образовательной программы по данному направлению подго</w:t>
      </w:r>
      <w:r w:rsidR="008101D7" w:rsidRPr="00E22FDC">
        <w:t>товки</w:t>
      </w:r>
      <w:r w:rsidR="003B074E" w:rsidRPr="00E22FDC">
        <w:t>.</w:t>
      </w:r>
    </w:p>
    <w:p w:rsidR="00533100" w:rsidRDefault="00ED3CD7" w:rsidP="00087AD5">
      <w:pPr>
        <w:ind w:right="170"/>
      </w:pPr>
      <w:r w:rsidRPr="00087AD5">
        <w:t xml:space="preserve">Согласно учебному плану </w:t>
      </w:r>
      <w:r w:rsidR="00E12CCD" w:rsidRPr="00087AD5">
        <w:t>подготовка к сдаче и сдача государственного экзамена</w:t>
      </w:r>
      <w:r w:rsidRPr="00087AD5">
        <w:t xml:space="preserve"> проводится в период с </w:t>
      </w:r>
      <w:r w:rsidR="008142AF">
        <w:t>25.05.2021</w:t>
      </w:r>
      <w:r w:rsidR="00087AD5" w:rsidRPr="00087AD5">
        <w:t>г.</w:t>
      </w:r>
      <w:r w:rsidR="008142AF">
        <w:t xml:space="preserve"> по 05.07.2021</w:t>
      </w:r>
      <w:r w:rsidR="00087AD5" w:rsidRPr="00087AD5">
        <w:t>г.</w:t>
      </w:r>
    </w:p>
    <w:p w:rsidR="00E12CCD" w:rsidRDefault="00ED3CD7" w:rsidP="00E12CCD">
      <w:pPr>
        <w:ind w:right="170"/>
      </w:pPr>
      <w:r w:rsidRPr="00E22FDC">
        <w:t xml:space="preserve">Для проведения государственного экзамена составляется расписание экзамена и </w:t>
      </w:r>
      <w:r w:rsidR="00E12CCD" w:rsidRPr="00E22FDC">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 xml:space="preserve">После ответа на вопросы экзаменационного билета </w:t>
      </w:r>
      <w:proofErr w:type="gramStart"/>
      <w:r w:rsidRPr="002543C4">
        <w:t>экзаменуемому</w:t>
      </w:r>
      <w:proofErr w:type="gramEnd"/>
      <w:r w:rsidRPr="002543C4">
        <w:t xml:space="preserve">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22EB5" w:rsidRDefault="00ED3CD7" w:rsidP="00224227">
      <w:pPr>
        <w:pStyle w:val="11"/>
        <w:shd w:val="clear" w:color="auto" w:fill="FFFFFF"/>
        <w:ind w:right="-1" w:firstLine="567"/>
        <w:rPr>
          <w:color w:val="000000"/>
          <w:sz w:val="24"/>
        </w:rPr>
      </w:pPr>
      <w:r w:rsidRPr="002543C4">
        <w:rPr>
          <w:color w:val="000000"/>
          <w:sz w:val="24"/>
        </w:rPr>
        <w:t xml:space="preserve">Критерии оценки </w:t>
      </w:r>
      <w:r w:rsidRPr="00222EB5">
        <w:rPr>
          <w:color w:val="000000"/>
          <w:sz w:val="24"/>
        </w:rPr>
        <w:t>государственного экзамена:</w:t>
      </w:r>
    </w:p>
    <w:p w:rsidR="00B519B2" w:rsidRPr="00222EB5" w:rsidRDefault="00F947F0" w:rsidP="00B519B2">
      <w:pPr>
        <w:pStyle w:val="11"/>
        <w:shd w:val="clear" w:color="auto" w:fill="FFFFFF"/>
        <w:ind w:right="-1" w:firstLine="567"/>
        <w:rPr>
          <w:color w:val="000000"/>
          <w:sz w:val="24"/>
          <w:szCs w:val="24"/>
        </w:rPr>
      </w:pPr>
      <w:r w:rsidRPr="00222EB5">
        <w:rPr>
          <w:color w:val="000000"/>
          <w:sz w:val="24"/>
        </w:rPr>
        <w:t xml:space="preserve">– на оценку </w:t>
      </w:r>
      <w:r w:rsidRPr="00222EB5">
        <w:rPr>
          <w:b/>
          <w:color w:val="000000"/>
          <w:sz w:val="24"/>
        </w:rPr>
        <w:t>«отлично»</w:t>
      </w:r>
      <w:r w:rsidRPr="00222EB5">
        <w:rPr>
          <w:color w:val="000000"/>
          <w:sz w:val="24"/>
        </w:rPr>
        <w:t xml:space="preserve"> – </w:t>
      </w:r>
      <w:r w:rsidR="00E12CCD" w:rsidRPr="00222EB5">
        <w:rPr>
          <w:color w:val="000000"/>
          <w:sz w:val="24"/>
        </w:rPr>
        <w:t xml:space="preserve">аспирант должен показать высокий уровень </w:t>
      </w:r>
      <w:proofErr w:type="spellStart"/>
      <w:r w:rsidR="00E12CCD" w:rsidRPr="00222EB5">
        <w:rPr>
          <w:color w:val="000000"/>
          <w:sz w:val="24"/>
        </w:rPr>
        <w:t>сформированности</w:t>
      </w:r>
      <w:proofErr w:type="spellEnd"/>
      <w:r w:rsidR="00E12CCD" w:rsidRPr="00222EB5">
        <w:rPr>
          <w:color w:val="000000"/>
          <w:sz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r w:rsidR="00B519B2" w:rsidRPr="00222EB5">
        <w:rPr>
          <w:color w:val="000000"/>
          <w:sz w:val="24"/>
        </w:rPr>
        <w:t>.</w:t>
      </w:r>
      <w:r w:rsidR="00B519B2" w:rsidRPr="00B519B2">
        <w:rPr>
          <w:rFonts w:eastAsiaTheme="minorHAnsi"/>
          <w:color w:val="000000"/>
          <w:sz w:val="23"/>
          <w:szCs w:val="23"/>
          <w:lang w:eastAsia="en-US"/>
        </w:rPr>
        <w:t xml:space="preserve"> </w:t>
      </w:r>
      <w:r w:rsidR="00B519B2" w:rsidRPr="00B519B2">
        <w:rPr>
          <w:rFonts w:eastAsiaTheme="minorHAnsi"/>
          <w:color w:val="000000"/>
          <w:sz w:val="24"/>
          <w:szCs w:val="24"/>
          <w:lang w:eastAsia="en-US"/>
        </w:rPr>
        <w:t xml:space="preserve">Ответы на поставленные вопросы в билете излагаются логично, последовательно и не требуют дополнительных пояснений. Всесторонне и глубоко раскрываются теоретические вопросы, определяющие причинно-следственные связи. Аспирант показывает не только высокий уровень теоретических знаний по вопросам, включенным в государственный экзамен по направлению подготовки, но и видит междисциплинарные связи. Профессионально, грамотно, последовательно, </w:t>
      </w:r>
      <w:r w:rsidR="00B519B2" w:rsidRPr="00B519B2">
        <w:rPr>
          <w:rFonts w:eastAsiaTheme="minorHAnsi"/>
          <w:color w:val="000000"/>
          <w:sz w:val="24"/>
          <w:szCs w:val="24"/>
          <w:lang w:eastAsia="en-US"/>
        </w:rPr>
        <w:lastRenderedPageBreak/>
        <w:t xml:space="preserve">хорошим языком четко излагает материал, </w:t>
      </w:r>
      <w:proofErr w:type="spellStart"/>
      <w:r w:rsidR="00B519B2" w:rsidRPr="00B519B2">
        <w:rPr>
          <w:rFonts w:eastAsiaTheme="minorHAnsi"/>
          <w:color w:val="000000"/>
          <w:sz w:val="24"/>
          <w:szCs w:val="24"/>
          <w:lang w:eastAsia="en-US"/>
        </w:rPr>
        <w:t>аргументированно</w:t>
      </w:r>
      <w:proofErr w:type="spellEnd"/>
      <w:r w:rsidR="00B519B2" w:rsidRPr="00B519B2">
        <w:rPr>
          <w:rFonts w:eastAsiaTheme="minorHAnsi"/>
          <w:color w:val="000000"/>
          <w:sz w:val="24"/>
          <w:szCs w:val="24"/>
          <w:lang w:eastAsia="en-US"/>
        </w:rPr>
        <w:t xml:space="preserve"> формулирует выводы. На вопросы членов комиссии </w:t>
      </w:r>
      <w:r w:rsidR="006F39C3" w:rsidRPr="00222EB5">
        <w:rPr>
          <w:rFonts w:eastAsiaTheme="minorHAnsi"/>
          <w:color w:val="000000"/>
          <w:sz w:val="24"/>
          <w:szCs w:val="24"/>
          <w:lang w:eastAsia="en-US"/>
        </w:rPr>
        <w:t>отвечает кратко, доказательно</w:t>
      </w:r>
      <w:r w:rsidR="00B519B2" w:rsidRPr="00B519B2">
        <w:rPr>
          <w:rFonts w:eastAsiaTheme="minorHAnsi"/>
          <w:color w:val="000000"/>
          <w:sz w:val="24"/>
          <w:szCs w:val="24"/>
          <w:lang w:eastAsia="en-US"/>
        </w:rPr>
        <w:t>, уверенно, по существу</w:t>
      </w:r>
      <w:r w:rsidR="00B519B2" w:rsidRPr="00222EB5">
        <w:rPr>
          <w:rFonts w:eastAsiaTheme="minorHAnsi"/>
          <w:color w:val="000000"/>
          <w:sz w:val="24"/>
          <w:szCs w:val="24"/>
          <w:lang w:eastAsia="en-US"/>
        </w:rPr>
        <w:t>;</w:t>
      </w:r>
    </w:p>
    <w:p w:rsidR="00BE383A" w:rsidRDefault="00F947F0" w:rsidP="00BE383A">
      <w:pPr>
        <w:pStyle w:val="11"/>
        <w:shd w:val="clear" w:color="auto" w:fill="FFFFFF"/>
        <w:ind w:right="-1" w:firstLine="567"/>
        <w:rPr>
          <w:rFonts w:eastAsiaTheme="minorHAnsi"/>
          <w:color w:val="000000"/>
          <w:sz w:val="24"/>
          <w:szCs w:val="24"/>
          <w:lang w:eastAsia="en-US"/>
        </w:rPr>
      </w:pPr>
      <w:r w:rsidRPr="00222EB5">
        <w:rPr>
          <w:color w:val="000000"/>
          <w:sz w:val="24"/>
          <w:szCs w:val="24"/>
        </w:rPr>
        <w:t xml:space="preserve">– на оценку </w:t>
      </w:r>
      <w:r w:rsidRPr="00222EB5">
        <w:rPr>
          <w:b/>
          <w:color w:val="000000"/>
          <w:sz w:val="24"/>
          <w:szCs w:val="24"/>
        </w:rPr>
        <w:t>«хорошо»</w:t>
      </w:r>
      <w:r w:rsidRPr="00222EB5">
        <w:rPr>
          <w:color w:val="000000"/>
          <w:sz w:val="24"/>
          <w:szCs w:val="24"/>
        </w:rPr>
        <w:t xml:space="preserve"> – </w:t>
      </w:r>
      <w:r w:rsidR="00E12CCD" w:rsidRPr="00222EB5">
        <w:rPr>
          <w:color w:val="000000"/>
          <w:sz w:val="24"/>
          <w:szCs w:val="24"/>
        </w:rPr>
        <w:t xml:space="preserve">аспирант должен показать продвинутый уровень </w:t>
      </w:r>
      <w:proofErr w:type="spellStart"/>
      <w:r w:rsidR="00E12CCD" w:rsidRPr="00222EB5">
        <w:rPr>
          <w:color w:val="000000"/>
          <w:sz w:val="24"/>
          <w:szCs w:val="24"/>
        </w:rPr>
        <w:t>сформированности</w:t>
      </w:r>
      <w:proofErr w:type="spellEnd"/>
      <w:r w:rsidR="00E12CCD" w:rsidRPr="00222EB5">
        <w:rPr>
          <w:color w:val="000000"/>
          <w:sz w:val="24"/>
          <w:szCs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r w:rsidR="006F39C3" w:rsidRPr="00222EB5">
        <w:rPr>
          <w:color w:val="000000"/>
          <w:sz w:val="24"/>
          <w:szCs w:val="24"/>
        </w:rPr>
        <w:t xml:space="preserve">. Аспирант </w:t>
      </w:r>
      <w:r w:rsidR="006F39C3" w:rsidRPr="00222EB5">
        <w:rPr>
          <w:rFonts w:eastAsiaTheme="minorHAnsi"/>
          <w:color w:val="000000"/>
          <w:sz w:val="24"/>
          <w:szCs w:val="24"/>
          <w:lang w:eastAsia="en-US"/>
        </w:rPr>
        <w:t>у</w:t>
      </w:r>
      <w:r w:rsidR="006F39C3" w:rsidRPr="006F39C3">
        <w:rPr>
          <w:rFonts w:eastAsiaTheme="minorHAnsi"/>
          <w:color w:val="000000"/>
          <w:sz w:val="24"/>
          <w:szCs w:val="24"/>
          <w:lang w:eastAsia="en-US"/>
        </w:rPr>
        <w:t xml:space="preserve">веренно и профессионально, грамотным языком, ясно, четко и понятно излагает состояние и суть вопроса, но при ответе допускает несущественные погрешности. Аспирант показывает достаточный уровень профессиональных знаний, свободно оперирует понятиями, методами исследований в профессиональной области, имеет представление: о междисциплинарных связях, умеет анализировать практические ситуации, но допускает некоторые погрешности. Ответ построен логично, материал излагается хорошим языком, привлекается информативный и иллюстрированный материал, но при ответе допускает некоторые неточности. Вопросы, задаваемые членами государственной аттестационной комиссии, не вызывают существенных затруднений. Демонстрируется умение анализировать и применять эмпирический материал при анализе, однако не все выводы носят аргументированный и доказательный характер. </w:t>
      </w:r>
    </w:p>
    <w:p w:rsidR="00E12CCD" w:rsidRPr="00BE383A" w:rsidRDefault="00F947F0" w:rsidP="00BE383A">
      <w:pPr>
        <w:pStyle w:val="11"/>
        <w:shd w:val="clear" w:color="auto" w:fill="FFFFFF"/>
        <w:ind w:right="-1" w:firstLine="567"/>
        <w:rPr>
          <w:color w:val="000000"/>
          <w:sz w:val="24"/>
          <w:szCs w:val="24"/>
        </w:rPr>
      </w:pPr>
      <w:r w:rsidRPr="00BE383A">
        <w:rPr>
          <w:sz w:val="24"/>
          <w:szCs w:val="24"/>
        </w:rPr>
        <w:t xml:space="preserve">– на оценку </w:t>
      </w:r>
      <w:r w:rsidRPr="00BE383A">
        <w:rPr>
          <w:b/>
          <w:sz w:val="24"/>
          <w:szCs w:val="24"/>
        </w:rPr>
        <w:t>«удовлетворительно»</w:t>
      </w:r>
      <w:r w:rsidRPr="00BE383A">
        <w:rPr>
          <w:sz w:val="24"/>
          <w:szCs w:val="24"/>
        </w:rPr>
        <w:t xml:space="preserve"> – </w:t>
      </w:r>
      <w:r w:rsidR="00E12CCD" w:rsidRPr="00BE383A">
        <w:rPr>
          <w:sz w:val="24"/>
          <w:szCs w:val="24"/>
        </w:rPr>
        <w:t xml:space="preserve">аспирант должен показать базовый уровень </w:t>
      </w:r>
      <w:proofErr w:type="spellStart"/>
      <w:r w:rsidR="00E12CCD" w:rsidRPr="00BE383A">
        <w:rPr>
          <w:sz w:val="24"/>
          <w:szCs w:val="24"/>
        </w:rPr>
        <w:t>сформированности</w:t>
      </w:r>
      <w:proofErr w:type="spellEnd"/>
      <w:r w:rsidR="00E12CCD" w:rsidRPr="00BE383A">
        <w:rPr>
          <w:sz w:val="24"/>
          <w:szCs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r w:rsidR="00222EB5" w:rsidRPr="00BE383A">
        <w:rPr>
          <w:sz w:val="24"/>
          <w:szCs w:val="24"/>
        </w:rPr>
        <w:t xml:space="preserve"> </w:t>
      </w:r>
      <w:r w:rsidR="00222EB5" w:rsidRPr="00BE383A">
        <w:rPr>
          <w:rFonts w:eastAsiaTheme="minorHAnsi"/>
          <w:sz w:val="24"/>
          <w:szCs w:val="24"/>
          <w:lang w:eastAsia="en-US"/>
        </w:rPr>
        <w:t>Аспирант показывает достаточные знания учебного и лекционного материала, но при ответе отсутствует должная связь между анализом, аргументацией и выводами. Допускаются нарушения в последовательности изложения. На поставленные членами государственной аттестационной комиссии вопросы отвечает неуверенно, допускает погрешности. Аспирант владеет практическими навыками, привлекает иллюстративный материал, но чувствует себя неуверенно при анализе междисциплинарных связей. В ответе не всегда присутствует логика, аргументы привлекаются недостаточно веские. На поставленные государственной аттестационной комиссией вопросы затрудняется с ответами, показывает недостаточно глубокие знания</w:t>
      </w:r>
      <w:r w:rsidR="00222EB5" w:rsidRPr="00222EB5">
        <w:rPr>
          <w:rFonts w:eastAsiaTheme="minorHAnsi"/>
          <w:lang w:eastAsia="en-US"/>
        </w:rPr>
        <w:t xml:space="preserve">. </w:t>
      </w:r>
    </w:p>
    <w:p w:rsidR="00222EB5" w:rsidRPr="00222EB5" w:rsidRDefault="00E12CCD" w:rsidP="00222EB5">
      <w:pPr>
        <w:pStyle w:val="11"/>
        <w:shd w:val="clear" w:color="auto" w:fill="FFFFFF"/>
        <w:ind w:right="-1" w:firstLine="567"/>
        <w:rPr>
          <w:color w:val="000000"/>
          <w:sz w:val="24"/>
        </w:rPr>
      </w:pPr>
      <w:r w:rsidRPr="00222EB5">
        <w:rPr>
          <w:color w:val="000000"/>
          <w:sz w:val="24"/>
        </w:rPr>
        <w:t xml:space="preserve">– на оценку </w:t>
      </w:r>
      <w:r w:rsidRPr="00222EB5">
        <w:rPr>
          <w:b/>
          <w:color w:val="000000"/>
          <w:sz w:val="24"/>
        </w:rPr>
        <w:t xml:space="preserve">«неудовлетворительно» </w:t>
      </w:r>
      <w:r w:rsidRPr="00222EB5">
        <w:rPr>
          <w:color w:val="000000"/>
          <w:sz w:val="24"/>
        </w:rPr>
        <w:t xml:space="preserve">– аспирант не обладает необходимой системой знаний, </w:t>
      </w:r>
      <w:r w:rsidRPr="00222EB5">
        <w:rPr>
          <w:color w:val="000000"/>
          <w:sz w:val="24"/>
          <w:szCs w:val="24"/>
        </w:rPr>
        <w:t>допускает существенные ошибки, не может показать интеллектуальные навыки решения простых задач.</w:t>
      </w:r>
      <w:r w:rsidR="00222EB5" w:rsidRPr="00222EB5">
        <w:rPr>
          <w:color w:val="000000"/>
          <w:sz w:val="24"/>
          <w:szCs w:val="24"/>
        </w:rPr>
        <w:t xml:space="preserve"> </w:t>
      </w:r>
      <w:r w:rsidR="00222EB5" w:rsidRPr="00222EB5">
        <w:rPr>
          <w:rFonts w:eastAsiaTheme="minorHAnsi"/>
          <w:color w:val="000000"/>
          <w:sz w:val="24"/>
          <w:szCs w:val="24"/>
          <w:lang w:eastAsia="en-US"/>
        </w:rPr>
        <w:t>Материал излагается непоследовательно, сбивчиво, не представляет определенной системы знаний. Аспирант показывает слабый уровень профессиональных знаний, затрудняется при анализе практических ситуаций. Неуверенно и логически непоследовательно излагает материал. Неправильно отвечает на поставленные членами государственной аттестационной комиссии вопросы или затрудняется с ответом.</w:t>
      </w:r>
      <w:r w:rsidR="00222EB5" w:rsidRPr="00222EB5">
        <w:rPr>
          <w:rFonts w:eastAsiaTheme="minorHAnsi"/>
          <w:color w:val="000000"/>
          <w:sz w:val="23"/>
          <w:szCs w:val="23"/>
          <w:lang w:eastAsia="en-US"/>
        </w:rPr>
        <w:t xml:space="preserve"> </w:t>
      </w:r>
    </w:p>
    <w:p w:rsidR="00DA5295" w:rsidRPr="002543C4" w:rsidRDefault="00DA5295" w:rsidP="00DA5295">
      <w:pPr>
        <w:ind w:right="170"/>
        <w:rPr>
          <w:color w:val="000000"/>
          <w:spacing w:val="2"/>
        </w:rPr>
      </w:pPr>
      <w:r w:rsidRPr="00222EB5">
        <w:rPr>
          <w:color w:val="000000"/>
        </w:rPr>
        <w:t>Аспирант</w:t>
      </w:r>
      <w:r w:rsidRPr="00222EB5">
        <w:rPr>
          <w:color w:val="000000"/>
          <w:spacing w:val="2"/>
        </w:rPr>
        <w:t xml:space="preserve">, успешно </w:t>
      </w:r>
      <w:r w:rsidRPr="00222EB5">
        <w:t>сдавший</w:t>
      </w:r>
      <w:r w:rsidRPr="00222EB5">
        <w:rPr>
          <w:color w:val="000000"/>
          <w:spacing w:val="2"/>
        </w:rPr>
        <w:t xml:space="preserve"> государственный экзамен, допускается к подготовке </w:t>
      </w:r>
      <w:r w:rsidR="00E12CCD" w:rsidRPr="00222EB5">
        <w:rPr>
          <w:color w:val="000000"/>
          <w:spacing w:val="2"/>
        </w:rPr>
        <w:t xml:space="preserve">и </w:t>
      </w:r>
      <w:r w:rsidR="00E12CCD" w:rsidRPr="00222EB5">
        <w:t>представлению научного доклада об основных результатах подготовленной НКР</w:t>
      </w:r>
      <w:r w:rsidRPr="00222EB5">
        <w:rPr>
          <w:color w:val="000000"/>
          <w:spacing w:val="2"/>
        </w:rPr>
        <w:t>.</w:t>
      </w:r>
    </w:p>
    <w:p w:rsidR="00ED3CD7" w:rsidRPr="002543C4" w:rsidRDefault="0068610C" w:rsidP="00FE683B">
      <w:pPr>
        <w:pStyle w:val="1"/>
      </w:pPr>
      <w:r w:rsidRPr="002543C4">
        <w:t>2.1</w:t>
      </w:r>
      <w:r w:rsidR="00ED3CD7" w:rsidRPr="002543C4">
        <w:t xml:space="preserve"> </w:t>
      </w:r>
      <w:bookmarkStart w:id="0" w:name="_Toc294809323"/>
      <w:r w:rsidR="00ED3CD7" w:rsidRPr="002543C4">
        <w:t>Содержание государственного экзамена</w:t>
      </w:r>
      <w:bookmarkEnd w:id="0"/>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lastRenderedPageBreak/>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 xml:space="preserve">12. Информационные технологии подготовки </w:t>
      </w:r>
      <w:proofErr w:type="spellStart"/>
      <w:r w:rsidRPr="002543C4">
        <w:t>сложно-структированного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266188" w:rsidP="00DA5295">
      <w:pPr>
        <w:spacing w:line="240" w:lineRule="auto"/>
      </w:pPr>
      <w:r>
        <w:t xml:space="preserve">28. </w:t>
      </w:r>
      <w:r w:rsidR="00DA5295" w:rsidRPr="002543C4">
        <w:t xml:space="preserve">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39081B" w:rsidRDefault="00266188" w:rsidP="0039081B">
      <w:pPr>
        <w:spacing w:line="240" w:lineRule="auto"/>
      </w:pPr>
      <w:r>
        <w:t xml:space="preserve">30. </w:t>
      </w:r>
      <w:r w:rsidR="00DA5295" w:rsidRPr="002543C4">
        <w:t xml:space="preserve">Понятие об адаптации студентов, ее виды и характеристика. Управление процессом адаптации обучающихся младших курсов. </w:t>
      </w:r>
    </w:p>
    <w:p w:rsidR="0039081B" w:rsidRDefault="0039081B" w:rsidP="0039081B">
      <w:pPr>
        <w:spacing w:line="240" w:lineRule="auto"/>
      </w:pPr>
      <w:r>
        <w:t>31. Фундаментальные категории онтологии: бытие, небытие, сущее.</w:t>
      </w:r>
    </w:p>
    <w:p w:rsidR="0039081B" w:rsidRDefault="0039081B" w:rsidP="0039081B">
      <w:pPr>
        <w:spacing w:line="240" w:lineRule="auto"/>
      </w:pPr>
      <w:r>
        <w:t>32. Категории тождества и различия, их осмысление в классической и современной философии.</w:t>
      </w:r>
    </w:p>
    <w:p w:rsidR="0039081B" w:rsidRDefault="0039081B" w:rsidP="0039081B">
      <w:pPr>
        <w:spacing w:line="240" w:lineRule="auto"/>
      </w:pPr>
      <w:r>
        <w:t>33. Категории системы и элемента, структуры и функции. Типы систем.</w:t>
      </w:r>
    </w:p>
    <w:p w:rsidR="0039081B" w:rsidRDefault="0039081B" w:rsidP="0039081B">
      <w:pPr>
        <w:spacing w:line="240" w:lineRule="auto"/>
      </w:pPr>
      <w:r>
        <w:t>34. Категории сущности и явления. Закон и закономерность. Закон как результат научно-исследовательской деятельности.</w:t>
      </w:r>
    </w:p>
    <w:p w:rsidR="0039081B" w:rsidRDefault="0039081B" w:rsidP="0039081B">
      <w:pPr>
        <w:spacing w:line="240" w:lineRule="auto"/>
      </w:pPr>
      <w:r>
        <w:t>35. Язык в современной философии: основные концепции.</w:t>
      </w:r>
    </w:p>
    <w:p w:rsidR="0039081B" w:rsidRDefault="0039081B" w:rsidP="0039081B">
      <w:pPr>
        <w:spacing w:line="240" w:lineRule="auto"/>
      </w:pPr>
      <w:r>
        <w:t>36. Основные категории детерминизма: необходимость и случайность, возможность и действительность, причина и следствие.</w:t>
      </w:r>
    </w:p>
    <w:p w:rsidR="0039081B" w:rsidRDefault="0039081B" w:rsidP="0039081B">
      <w:pPr>
        <w:spacing w:line="240" w:lineRule="auto"/>
      </w:pPr>
      <w:r>
        <w:t>37. Категории пространства и времени в классической и современной философии.</w:t>
      </w:r>
    </w:p>
    <w:p w:rsidR="0039081B" w:rsidRDefault="0039081B" w:rsidP="0039081B">
      <w:pPr>
        <w:spacing w:line="240" w:lineRule="auto"/>
      </w:pPr>
      <w:r>
        <w:t>38. Познавательное и ценностное отношение к миру. Знание и оценка. Проблема оценки результата научного исследования.</w:t>
      </w:r>
    </w:p>
    <w:p w:rsidR="0039081B" w:rsidRDefault="0039081B" w:rsidP="0039081B">
      <w:pPr>
        <w:spacing w:line="240" w:lineRule="auto"/>
      </w:pPr>
      <w:r>
        <w:lastRenderedPageBreak/>
        <w:t>39. Познание и понимание. Герменевтические аспекты познания.</w:t>
      </w:r>
    </w:p>
    <w:p w:rsidR="0039081B" w:rsidRDefault="0039081B" w:rsidP="0039081B">
      <w:pPr>
        <w:spacing w:line="240" w:lineRule="auto"/>
      </w:pPr>
      <w:r>
        <w:t>40. Философские концепции истины. Проблемы классификации теорий истины.</w:t>
      </w:r>
    </w:p>
    <w:p w:rsidR="0039081B" w:rsidRDefault="0039081B" w:rsidP="0039081B">
      <w:pPr>
        <w:spacing w:line="240" w:lineRule="auto"/>
      </w:pPr>
      <w:r>
        <w:t>41. Природа информации как проблема онтологии и теории познания. Информационные аспекты научно-исследовательской деятельности.</w:t>
      </w:r>
    </w:p>
    <w:p w:rsidR="0039081B" w:rsidRDefault="0039081B" w:rsidP="0039081B">
      <w:pPr>
        <w:spacing w:line="240" w:lineRule="auto"/>
      </w:pPr>
      <w:r>
        <w:t>42. Познание в целостной структуре человеческой деятельности. Познание и практика. Типы научно-исследовательских практик.</w:t>
      </w:r>
    </w:p>
    <w:p w:rsidR="0039081B" w:rsidRDefault="0039081B" w:rsidP="0039081B">
      <w:pPr>
        <w:spacing w:line="240" w:lineRule="auto"/>
      </w:pPr>
      <w:r>
        <w:t>43. Социальная обусловленность познания. Институциональные основания научно-исследовательской деятельности.</w:t>
      </w:r>
    </w:p>
    <w:p w:rsidR="0039081B" w:rsidRDefault="0039081B" w:rsidP="0039081B">
      <w:pPr>
        <w:spacing w:line="240" w:lineRule="auto"/>
      </w:pPr>
      <w:r>
        <w:t>44. Субъектно-объектная парадигма классической гносеолог</w:t>
      </w:r>
      <w:proofErr w:type="gramStart"/>
      <w:r>
        <w:t>ии и ее</w:t>
      </w:r>
      <w:proofErr w:type="gramEnd"/>
      <w:r>
        <w:t xml:space="preserve"> оценка в философии науки. Переосмысление субъектно-объектной модели в современной исследовательской деятельности.</w:t>
      </w:r>
    </w:p>
    <w:p w:rsidR="00363063" w:rsidRDefault="0039081B" w:rsidP="0039081B">
      <w:pPr>
        <w:spacing w:line="240" w:lineRule="auto"/>
      </w:pPr>
      <w:r>
        <w:t>45. Познание, общение и коммуникация. Типы и нормы научно-исследовательских коммуникаций в научном сообществе.</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w:t>
      </w:r>
      <w:r w:rsidR="000C20FE">
        <w:t xml:space="preserve"> методы-операции, применяемые в</w:t>
      </w:r>
      <w:r w:rsidRPr="002543C4">
        <w:t xml:space="preserve">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w:t>
      </w:r>
      <w:r w:rsidR="000C20FE">
        <w:t xml:space="preserve"> методы-операции, применяемые в</w:t>
      </w:r>
      <w:r w:rsidRPr="002543C4">
        <w:t xml:space="preserve"> научно-квалификационной работе.</w:t>
      </w:r>
    </w:p>
    <w:p w:rsidR="00DA5295" w:rsidRPr="002543C4" w:rsidRDefault="00DA5295" w:rsidP="00DA5295">
      <w:pPr>
        <w:spacing w:line="240" w:lineRule="auto"/>
      </w:pPr>
      <w:r w:rsidRPr="002543C4">
        <w:t xml:space="preserve">7. Описать эмпирические </w:t>
      </w:r>
      <w:r w:rsidR="000C20FE">
        <w:t xml:space="preserve">методы-действия, применяемые в </w:t>
      </w:r>
      <w:r w:rsidRPr="002543C4">
        <w:t>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w:t>
      </w:r>
      <w:proofErr w:type="gramStart"/>
      <w:r w:rsidRPr="002543C4">
        <w:t>обучающихся</w:t>
      </w:r>
      <w:proofErr w:type="gramEnd"/>
      <w:r w:rsidRPr="002543C4">
        <w:t xml:space="preserve">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t xml:space="preserve">14. Проанализировать учебный план по конкретному направлению подготовки с позиций требований </w:t>
      </w:r>
      <w:proofErr w:type="spellStart"/>
      <w:r w:rsidRPr="002543C4">
        <w:t>компетентностного</w:t>
      </w:r>
      <w:proofErr w:type="spellEnd"/>
      <w:r w:rsidRPr="002543C4">
        <w:t xml:space="preserve"> подхода.</w:t>
      </w:r>
    </w:p>
    <w:p w:rsidR="00DA5295" w:rsidRPr="002543C4" w:rsidRDefault="00DA5295" w:rsidP="00DA5295">
      <w:pPr>
        <w:spacing w:line="240" w:lineRule="auto"/>
      </w:pPr>
      <w:r w:rsidRPr="002543C4">
        <w:t xml:space="preserve">15. Сделать обоснованный выбор технологии обучения для использования при проведении учебного занятия (формы </w:t>
      </w:r>
      <w:proofErr w:type="gramStart"/>
      <w:r w:rsidRPr="002543C4">
        <w:t>обучения – по выбору</w:t>
      </w:r>
      <w:proofErr w:type="gramEnd"/>
      <w:r w:rsidRPr="002543C4">
        <w:t>) по конкретной теме.</w:t>
      </w:r>
    </w:p>
    <w:p w:rsidR="00DA5295" w:rsidRPr="002543C4" w:rsidRDefault="00DA5295" w:rsidP="00DA5295">
      <w:pPr>
        <w:spacing w:line="240" w:lineRule="auto"/>
      </w:pPr>
      <w:r w:rsidRPr="002543C4">
        <w:t xml:space="preserve">16. Привести примеры видов и форм организации научно-исследовательской работы с </w:t>
      </w:r>
      <w:proofErr w:type="gramStart"/>
      <w:r w:rsidRPr="002543C4">
        <w:t>обучающимися</w:t>
      </w:r>
      <w:proofErr w:type="gramEnd"/>
      <w:r w:rsidRPr="002543C4">
        <w:t>.</w:t>
      </w:r>
    </w:p>
    <w:p w:rsidR="005C6389" w:rsidRPr="00E97F24" w:rsidRDefault="005C6389" w:rsidP="005C6389">
      <w:pPr>
        <w:pStyle w:val="2"/>
        <w:spacing w:before="60"/>
      </w:pPr>
      <w:r w:rsidRPr="002543C4">
        <w:t>2.1.3 Учебно-методическое обеспечение</w:t>
      </w:r>
    </w:p>
    <w:p w:rsidR="009130FA" w:rsidRDefault="009130FA" w:rsidP="003C0667">
      <w:pPr>
        <w:shd w:val="clear" w:color="auto" w:fill="FFFFFF"/>
        <w:jc w:val="left"/>
        <w:rPr>
          <w:color w:val="262626"/>
        </w:rPr>
      </w:pPr>
      <w:r w:rsidRPr="009130FA">
        <w:t xml:space="preserve">1. </w:t>
      </w:r>
      <w:r w:rsidRPr="009130FA">
        <w:rPr>
          <w:color w:val="262626"/>
        </w:rPr>
        <w:t>Представление и визуализация р</w:t>
      </w:r>
      <w:r w:rsidR="00E84A7B">
        <w:rPr>
          <w:color w:val="262626"/>
        </w:rPr>
        <w:t>езультатов научных исследований: учебник / О.</w:t>
      </w:r>
      <w:r w:rsidRPr="009130FA">
        <w:rPr>
          <w:color w:val="262626"/>
        </w:rPr>
        <w:t xml:space="preserve">С. </w:t>
      </w:r>
      <w:proofErr w:type="spellStart"/>
      <w:r w:rsidRPr="009130FA">
        <w:rPr>
          <w:color w:val="262626"/>
        </w:rPr>
        <w:t>Логунова</w:t>
      </w:r>
      <w:proofErr w:type="spellEnd"/>
      <w:r w:rsidRPr="009130FA">
        <w:rPr>
          <w:color w:val="262626"/>
        </w:rPr>
        <w:t>, П. Ю. Роман</w:t>
      </w:r>
      <w:r w:rsidR="00E84A7B">
        <w:rPr>
          <w:color w:val="262626"/>
        </w:rPr>
        <w:t>ов, Л. Г. Егорова, Е. А. Ильина</w:t>
      </w:r>
      <w:r w:rsidRPr="009130FA">
        <w:rPr>
          <w:color w:val="262626"/>
        </w:rPr>
        <w:t>; под</w:t>
      </w:r>
      <w:r w:rsidR="00E84A7B">
        <w:rPr>
          <w:color w:val="262626"/>
        </w:rPr>
        <w:t xml:space="preserve"> ред. О. С. </w:t>
      </w:r>
      <w:proofErr w:type="spellStart"/>
      <w:r w:rsidR="00E84A7B">
        <w:rPr>
          <w:color w:val="262626"/>
        </w:rPr>
        <w:t>Логуновой</w:t>
      </w:r>
      <w:proofErr w:type="spellEnd"/>
      <w:r w:rsidR="00E84A7B">
        <w:rPr>
          <w:color w:val="262626"/>
        </w:rPr>
        <w:t xml:space="preserve">. – Москва: </w:t>
      </w:r>
      <w:proofErr w:type="gramStart"/>
      <w:r w:rsidR="00E84A7B">
        <w:rPr>
          <w:color w:val="262626"/>
        </w:rPr>
        <w:t>ИНФРА-М, 2020. – 156 с. –</w:t>
      </w:r>
      <w:r w:rsidRPr="009130FA">
        <w:rPr>
          <w:color w:val="262626"/>
        </w:rPr>
        <w:t xml:space="preserve"> (Высшее образование:</w:t>
      </w:r>
      <w:proofErr w:type="gramEnd"/>
      <w:r w:rsidRPr="009130FA">
        <w:rPr>
          <w:color w:val="262626"/>
        </w:rPr>
        <w:t xml:space="preserve"> </w:t>
      </w:r>
      <w:proofErr w:type="gramStart"/>
      <w:r w:rsidRPr="009130FA">
        <w:rPr>
          <w:color w:val="262626"/>
        </w:rPr>
        <w:t>Аспиранту</w:t>
      </w:r>
      <w:r w:rsidR="00E84A7B">
        <w:rPr>
          <w:color w:val="262626"/>
        </w:rPr>
        <w:t>ра).</w:t>
      </w:r>
      <w:proofErr w:type="gramEnd"/>
      <w:r w:rsidR="00E84A7B">
        <w:rPr>
          <w:color w:val="262626"/>
        </w:rPr>
        <w:t xml:space="preserve"> –ISBN 978-5-16-</w:t>
      </w:r>
      <w:r w:rsidR="00E84A7B">
        <w:rPr>
          <w:color w:val="262626"/>
        </w:rPr>
        <w:lastRenderedPageBreak/>
        <w:t>014111-4. –</w:t>
      </w:r>
      <w:r w:rsidRPr="009130FA">
        <w:rPr>
          <w:color w:val="262626"/>
        </w:rPr>
        <w:t xml:space="preserve"> Текст: эле</w:t>
      </w:r>
      <w:r w:rsidR="00E84A7B">
        <w:rPr>
          <w:color w:val="262626"/>
        </w:rPr>
        <w:t xml:space="preserve">ктронный. – </w:t>
      </w:r>
      <w:r w:rsidRPr="009130FA">
        <w:rPr>
          <w:color w:val="262626"/>
        </w:rPr>
        <w:t>URL:</w:t>
      </w:r>
      <w:r w:rsidR="00E84A7B">
        <w:rPr>
          <w:color w:val="262626"/>
        </w:rPr>
        <w:t xml:space="preserve"> </w:t>
      </w:r>
      <w:hyperlink r:id="rId14" w:tgtFrame="_blank" w:history="1">
        <w:r w:rsidRPr="009130FA">
          <w:rPr>
            <w:color w:val="315EFB"/>
          </w:rPr>
          <w:t>https://znanium.com/catalog/product/1056236</w:t>
        </w:r>
      </w:hyperlink>
      <w:r w:rsidR="00E84A7B">
        <w:rPr>
          <w:color w:val="262626"/>
        </w:rPr>
        <w:t xml:space="preserve"> </w:t>
      </w:r>
      <w:r w:rsidRPr="009130FA">
        <w:rPr>
          <w:color w:val="262626"/>
        </w:rPr>
        <w:t>(дата обращения: 12.10.2020). – Режим доступа: по подписке.</w:t>
      </w:r>
    </w:p>
    <w:p w:rsidR="003C0667" w:rsidRPr="00B4273E" w:rsidRDefault="003C0667" w:rsidP="003C0667">
      <w:pPr>
        <w:jc w:val="left"/>
      </w:pPr>
      <w:r w:rsidRPr="003C0667">
        <w:rPr>
          <w:color w:val="262626"/>
        </w:rPr>
        <w:t xml:space="preserve">2. </w:t>
      </w:r>
      <w:r w:rsidRPr="00B4273E">
        <w:t>Новиков, А.М. Методология. / А.М. Новиков, Д.А. Новиков Д.А. – М.: СИНТЕГ, 2007</w:t>
      </w:r>
      <w:r w:rsidR="00A661A8">
        <w:t>.</w:t>
      </w:r>
      <w:r w:rsidRPr="00B4273E">
        <w:t xml:space="preserve"> – 668 с.</w:t>
      </w:r>
      <w:r w:rsidR="00E84A7B" w:rsidRPr="00E84A7B">
        <w:rPr>
          <w:color w:val="262626"/>
        </w:rPr>
        <w:t xml:space="preserve"> </w:t>
      </w:r>
      <w:r w:rsidR="00E84A7B">
        <w:rPr>
          <w:color w:val="262626"/>
        </w:rPr>
        <w:t xml:space="preserve">– </w:t>
      </w:r>
      <w:r w:rsidR="00E84A7B" w:rsidRPr="009130FA">
        <w:rPr>
          <w:color w:val="262626"/>
        </w:rPr>
        <w:t>URL:</w:t>
      </w:r>
      <w:r w:rsidRPr="00B4273E">
        <w:t xml:space="preserve"> </w:t>
      </w:r>
      <w:hyperlink r:id="rId15"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3C0667">
      <w:pPr>
        <w:pStyle w:val="a5"/>
        <w:ind w:left="0"/>
      </w:pPr>
      <w:r>
        <w:t xml:space="preserve">3. </w:t>
      </w:r>
      <w:r w:rsidR="00E84A7B">
        <w:t>Смирнов, С.Д.</w:t>
      </w:r>
      <w:r w:rsidRPr="00631E96">
        <w:t xml:space="preserve"> Психология и педагогика в высшей шк</w:t>
      </w:r>
      <w:r w:rsidR="00E84A7B">
        <w:t xml:space="preserve">оле: учебное пособие для вузов/ С.Д.Смирнов. – 3-е изд., </w:t>
      </w:r>
      <w:proofErr w:type="spellStart"/>
      <w:r w:rsidR="00E84A7B">
        <w:t>перераб</w:t>
      </w:r>
      <w:proofErr w:type="spellEnd"/>
      <w:r w:rsidR="00E84A7B">
        <w:t xml:space="preserve">. и доп. – Москва: Издательство </w:t>
      </w:r>
      <w:proofErr w:type="spellStart"/>
      <w:r w:rsidR="00E84A7B">
        <w:t>Юрайт</w:t>
      </w:r>
      <w:proofErr w:type="spellEnd"/>
      <w:r w:rsidR="00E84A7B">
        <w:t xml:space="preserve">, 2020. – 352с. – (Высшее образование). – ISBN 978-5-534-08294-4. – Текст: электронный// ЭБС </w:t>
      </w:r>
      <w:proofErr w:type="spellStart"/>
      <w:r w:rsidR="00E84A7B">
        <w:t>Юрайт</w:t>
      </w:r>
      <w:proofErr w:type="spellEnd"/>
      <w:r w:rsidR="00E84A7B">
        <w:t xml:space="preserve"> [сайт]. –</w:t>
      </w:r>
      <w:r w:rsidRPr="00631E96">
        <w:t xml:space="preserve"> URL: </w:t>
      </w:r>
      <w:hyperlink r:id="rId16" w:history="1">
        <w:r w:rsidRPr="00B336A4">
          <w:rPr>
            <w:rStyle w:val="ae"/>
          </w:rPr>
          <w:t>https://urait.ru/bcode/451678</w:t>
        </w:r>
      </w:hyperlink>
      <w:r>
        <w:t xml:space="preserve"> </w:t>
      </w:r>
      <w:r w:rsidRPr="00631E96">
        <w:t>(дата обращения: 12.10.2020).</w:t>
      </w:r>
    </w:p>
    <w:p w:rsidR="009130FA" w:rsidRPr="009130FA" w:rsidRDefault="003C0667" w:rsidP="003C0667">
      <w:pPr>
        <w:shd w:val="clear" w:color="auto" w:fill="FFFFFF"/>
        <w:jc w:val="left"/>
        <w:rPr>
          <w:color w:val="262626"/>
        </w:rPr>
      </w:pPr>
      <w:r>
        <w:t xml:space="preserve">4. </w:t>
      </w:r>
      <w:r w:rsidR="00E84A7B">
        <w:t>Куклина, Е.Н.</w:t>
      </w:r>
      <w:r w:rsidRPr="00CE676F">
        <w:t xml:space="preserve"> Организация </w:t>
      </w:r>
      <w:r w:rsidR="00E84A7B">
        <w:t>самостоятельной работы студента: учебное пособие для вузов/ Е.</w:t>
      </w:r>
      <w:r w:rsidRPr="00CE676F">
        <w:t>Н</w:t>
      </w:r>
      <w:r w:rsidR="00E84A7B">
        <w:t xml:space="preserve">. Куклина, М.А. </w:t>
      </w:r>
      <w:proofErr w:type="spellStart"/>
      <w:r w:rsidR="00E84A7B">
        <w:t>Мазниченко</w:t>
      </w:r>
      <w:proofErr w:type="spellEnd"/>
      <w:r w:rsidR="00E84A7B">
        <w:t xml:space="preserve">, И.А. </w:t>
      </w:r>
      <w:proofErr w:type="spellStart"/>
      <w:r w:rsidR="00E84A7B">
        <w:t>Мушкина</w:t>
      </w:r>
      <w:proofErr w:type="spellEnd"/>
      <w:r w:rsidR="00E84A7B">
        <w:t xml:space="preserve">. – 2-е изд., </w:t>
      </w:r>
      <w:proofErr w:type="spellStart"/>
      <w:r w:rsidR="00E84A7B">
        <w:t>испр</w:t>
      </w:r>
      <w:proofErr w:type="spellEnd"/>
      <w:r w:rsidR="00E84A7B">
        <w:t xml:space="preserve">. и доп. – Москва: Издательство </w:t>
      </w:r>
      <w:proofErr w:type="spellStart"/>
      <w:r w:rsidR="00E84A7B">
        <w:t>Юрайт</w:t>
      </w:r>
      <w:proofErr w:type="spellEnd"/>
      <w:r w:rsidR="00E84A7B">
        <w:t xml:space="preserve">, 2020. – 235с. – </w:t>
      </w:r>
      <w:r w:rsidRPr="00CE676F">
        <w:t xml:space="preserve">(Высшее </w:t>
      </w:r>
      <w:r w:rsidR="00E84A7B">
        <w:t>образование). – ISBN 978-5-534-06270-0. — Текст</w:t>
      </w:r>
      <w:r w:rsidRPr="00CE676F">
        <w:t>: эл</w:t>
      </w:r>
      <w:r w:rsidR="00E84A7B">
        <w:t xml:space="preserve">ектронный // ЭБС </w:t>
      </w:r>
      <w:proofErr w:type="spellStart"/>
      <w:r w:rsidR="00E84A7B">
        <w:t>Юрайт</w:t>
      </w:r>
      <w:proofErr w:type="spellEnd"/>
      <w:r w:rsidR="00E84A7B">
        <w:t xml:space="preserve"> [сайт]. –</w:t>
      </w:r>
      <w:r w:rsidRPr="00CE676F">
        <w:t xml:space="preserve"> URL: </w:t>
      </w:r>
      <w:hyperlink r:id="rId17" w:history="1">
        <w:r w:rsidRPr="00B336A4">
          <w:rPr>
            <w:rStyle w:val="ae"/>
          </w:rPr>
          <w:t>https://urait.ru/bcode/452858</w:t>
        </w:r>
      </w:hyperlink>
      <w:r>
        <w:t xml:space="preserve"> </w:t>
      </w:r>
      <w:r w:rsidRPr="00CE676F">
        <w:t>(дата обращения: 12.10.2020).</w:t>
      </w:r>
    </w:p>
    <w:p w:rsidR="003C0667" w:rsidRPr="00CE676F" w:rsidRDefault="003C0667" w:rsidP="003C0667">
      <w:pPr>
        <w:pStyle w:val="a5"/>
        <w:ind w:left="0"/>
      </w:pPr>
      <w:r>
        <w:t xml:space="preserve">5. </w:t>
      </w:r>
      <w:proofErr w:type="spellStart"/>
      <w:r w:rsidR="00E84A7B">
        <w:t>Куцебо</w:t>
      </w:r>
      <w:proofErr w:type="spellEnd"/>
      <w:r w:rsidR="00E84A7B">
        <w:t>, Г.И.</w:t>
      </w:r>
      <w:r w:rsidRPr="00CE676F">
        <w:t xml:space="preserve"> Обща</w:t>
      </w:r>
      <w:r w:rsidR="00E84A7B">
        <w:t>я и профессиональная педагогика</w:t>
      </w:r>
      <w:r w:rsidRPr="00CE676F">
        <w:t>: учебно</w:t>
      </w:r>
      <w:r w:rsidR="00E84A7B">
        <w:t xml:space="preserve">е пособие для вузов/ Г.И. </w:t>
      </w:r>
      <w:proofErr w:type="spellStart"/>
      <w:r w:rsidR="00E84A7B">
        <w:t>Куцебо</w:t>
      </w:r>
      <w:proofErr w:type="spellEnd"/>
      <w:r w:rsidR="00E84A7B">
        <w:t xml:space="preserve">, Н.С. Пономарева. – 2-е изд., </w:t>
      </w:r>
      <w:proofErr w:type="spellStart"/>
      <w:r w:rsidR="00E84A7B">
        <w:t>испр</w:t>
      </w:r>
      <w:proofErr w:type="spellEnd"/>
      <w:r w:rsidR="00E84A7B">
        <w:t xml:space="preserve">. и доп. – Москва: Издательство </w:t>
      </w:r>
      <w:proofErr w:type="spellStart"/>
      <w:r w:rsidR="00E84A7B">
        <w:t>Юрайт</w:t>
      </w:r>
      <w:proofErr w:type="spellEnd"/>
      <w:r w:rsidR="00E84A7B">
        <w:t xml:space="preserve">, 2020. – 128с. – (Высшее образование). – ISBN 978-5-534-07438-3. – Текст: электронный// ЭБС </w:t>
      </w:r>
      <w:proofErr w:type="spellStart"/>
      <w:r w:rsidR="00E84A7B">
        <w:t>Юрайт</w:t>
      </w:r>
      <w:proofErr w:type="spellEnd"/>
      <w:r w:rsidR="00E84A7B">
        <w:t xml:space="preserve"> [сайт]. –</w:t>
      </w:r>
      <w:r w:rsidRPr="00CE676F">
        <w:t xml:space="preserve"> URL: </w:t>
      </w:r>
      <w:hyperlink r:id="rId18" w:history="1">
        <w:r w:rsidRPr="00B336A4">
          <w:rPr>
            <w:rStyle w:val="ae"/>
          </w:rPr>
          <w:t>https://urait.ru/bcode/452096</w:t>
        </w:r>
      </w:hyperlink>
      <w:r>
        <w:t xml:space="preserve"> </w:t>
      </w:r>
      <w:r w:rsidRPr="00CE676F">
        <w:t>(дата обращения: 12.10.2020).</w:t>
      </w:r>
    </w:p>
    <w:p w:rsidR="003C0667" w:rsidRPr="00CE676F" w:rsidRDefault="003C0667" w:rsidP="003C0667">
      <w:pPr>
        <w:pStyle w:val="a5"/>
        <w:ind w:left="0"/>
      </w:pPr>
      <w:r>
        <w:t xml:space="preserve">6. </w:t>
      </w:r>
      <w:r w:rsidR="00E84A7B">
        <w:t>Плаксина, И.В.</w:t>
      </w:r>
      <w:r w:rsidRPr="00CE676F">
        <w:t xml:space="preserve"> Интеракти</w:t>
      </w:r>
      <w:r w:rsidR="00E84A7B">
        <w:t>вные образовательные технологии</w:t>
      </w:r>
      <w:r w:rsidRPr="00CE676F">
        <w:t>: учебное пособ</w:t>
      </w:r>
      <w:r w:rsidR="00E84A7B">
        <w:t>ие для вузов/ И.В. Плаксина. –</w:t>
      </w:r>
      <w:r w:rsidRPr="00CE676F">
        <w:t xml:space="preserve"> </w:t>
      </w:r>
      <w:r w:rsidR="00E84A7B">
        <w:t xml:space="preserve">3-е изд., </w:t>
      </w:r>
      <w:proofErr w:type="spellStart"/>
      <w:r w:rsidR="00E84A7B">
        <w:t>испр</w:t>
      </w:r>
      <w:proofErr w:type="spellEnd"/>
      <w:r w:rsidR="00E84A7B">
        <w:t>. и доп. – Москва</w:t>
      </w:r>
      <w:r w:rsidRPr="00CE676F">
        <w:t xml:space="preserve">: </w:t>
      </w:r>
      <w:r w:rsidR="00E84A7B">
        <w:t xml:space="preserve">Издательство </w:t>
      </w:r>
      <w:proofErr w:type="spellStart"/>
      <w:r w:rsidR="00E84A7B">
        <w:t>Юрайт</w:t>
      </w:r>
      <w:proofErr w:type="spellEnd"/>
      <w:r w:rsidR="00E84A7B">
        <w:t>, 2020. – 151с. –</w:t>
      </w:r>
      <w:r w:rsidRPr="00CE676F">
        <w:t xml:space="preserve"> (Вы</w:t>
      </w:r>
      <w:r w:rsidR="00E84A7B">
        <w:t>сшее образование). – ISBN 978-5-534-07623-3. – Текст</w:t>
      </w:r>
      <w:r w:rsidRPr="00CE676F">
        <w:t>: эл</w:t>
      </w:r>
      <w:r w:rsidR="00E84A7B">
        <w:t xml:space="preserve">ектронный // ЭБС </w:t>
      </w:r>
      <w:proofErr w:type="spellStart"/>
      <w:r w:rsidR="00E84A7B">
        <w:t>Юрайт</w:t>
      </w:r>
      <w:proofErr w:type="spellEnd"/>
      <w:r w:rsidR="00E84A7B">
        <w:t xml:space="preserve"> [сайт]. –</w:t>
      </w:r>
      <w:r w:rsidRPr="00CE676F">
        <w:t xml:space="preserve"> URL: </w:t>
      </w:r>
      <w:hyperlink r:id="rId19" w:history="1">
        <w:r w:rsidRPr="00B336A4">
          <w:rPr>
            <w:rStyle w:val="ae"/>
          </w:rPr>
          <w:t>https://urait.ru/bcode/451736</w:t>
        </w:r>
      </w:hyperlink>
      <w:r>
        <w:t xml:space="preserve"> </w:t>
      </w:r>
      <w:r w:rsidRPr="00CE676F">
        <w:t>(дата обращения: 12.10.2020).</w:t>
      </w:r>
    </w:p>
    <w:p w:rsidR="003C0667" w:rsidRPr="00CE676F" w:rsidRDefault="003C0667" w:rsidP="003C0667">
      <w:pPr>
        <w:pStyle w:val="a5"/>
        <w:ind w:left="0"/>
      </w:pPr>
      <w:r>
        <w:t xml:space="preserve">7. </w:t>
      </w:r>
      <w:r w:rsidR="00E84A7B">
        <w:t>Аришина, Э.</w:t>
      </w:r>
      <w:r w:rsidRPr="00CE676F">
        <w:t xml:space="preserve">С. Профессионально-личностное саморазвитие студентов технического </w:t>
      </w:r>
      <w:r w:rsidR="00E84A7B">
        <w:t>университета: ценностный аспект</w:t>
      </w:r>
      <w:r w:rsidRPr="00CE676F">
        <w:t>: учебно-методическое пособие [для вузо</w:t>
      </w:r>
      <w:r w:rsidR="002D20CB">
        <w:t>в] / Э.</w:t>
      </w:r>
      <w:r w:rsidR="00E84A7B">
        <w:t xml:space="preserve">С. Аришина, О. В. </w:t>
      </w:r>
      <w:proofErr w:type="spellStart"/>
      <w:r w:rsidR="00E84A7B">
        <w:t>Лешер</w:t>
      </w:r>
      <w:proofErr w:type="spellEnd"/>
      <w:r w:rsidRPr="00CE676F">
        <w:t xml:space="preserve">; Магнитогорский </w:t>
      </w:r>
      <w:proofErr w:type="spellStart"/>
      <w:r w:rsidRPr="00CE676F">
        <w:t>гос</w:t>
      </w:r>
      <w:proofErr w:type="spellEnd"/>
      <w:r w:rsidRPr="00CE676F">
        <w:t>. технический ун-т и</w:t>
      </w:r>
      <w:r w:rsidR="002D20CB">
        <w:t>м. Г. И. Носова. – Магнитогорск: МГТУ им. Г. И. Носова, 2020. – 1 CD-ROM. –</w:t>
      </w:r>
      <w:r w:rsidRPr="00CE676F">
        <w:t xml:space="preserve"> ISBN 978-5-9</w:t>
      </w:r>
      <w:r w:rsidR="002D20CB">
        <w:t xml:space="preserve">967-1853-5. – </w:t>
      </w:r>
      <w:proofErr w:type="spellStart"/>
      <w:r w:rsidR="002D20CB">
        <w:t>Загл</w:t>
      </w:r>
      <w:proofErr w:type="spellEnd"/>
      <w:r w:rsidR="002D20CB">
        <w:t>. с титул</w:t>
      </w:r>
      <w:proofErr w:type="gramStart"/>
      <w:r w:rsidR="002D20CB">
        <w:t>.</w:t>
      </w:r>
      <w:proofErr w:type="gramEnd"/>
      <w:r w:rsidR="002D20CB">
        <w:t xml:space="preserve"> </w:t>
      </w:r>
      <w:proofErr w:type="gramStart"/>
      <w:r w:rsidR="002D20CB">
        <w:t>э</w:t>
      </w:r>
      <w:proofErr w:type="gramEnd"/>
      <w:r w:rsidR="002D20CB">
        <w:t>крана. – URL</w:t>
      </w:r>
      <w:r w:rsidRPr="00CE676F">
        <w:t xml:space="preserve">: </w:t>
      </w:r>
      <w:hyperlink r:id="rId20"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002D20CB">
        <w:t>.10.2020). – Макрообъект. – Текст: электронный. –</w:t>
      </w:r>
      <w:r w:rsidRPr="00CE676F">
        <w:t xml:space="preserve"> Сведения доступны также на CD-ROM.</w:t>
      </w:r>
    </w:p>
    <w:p w:rsidR="009130FA" w:rsidRDefault="003C0667" w:rsidP="003C0667">
      <w:r>
        <w:t xml:space="preserve">8. </w:t>
      </w:r>
      <w:proofErr w:type="spellStart"/>
      <w:r w:rsidRPr="00CE676F">
        <w:t>Лешер</w:t>
      </w:r>
      <w:proofErr w:type="spellEnd"/>
      <w:r w:rsidRPr="00CE676F">
        <w:t>, О. В. Воспитательная работа со студен</w:t>
      </w:r>
      <w:r w:rsidR="002D20CB">
        <w:t>тами в техническом университете</w:t>
      </w:r>
      <w:r w:rsidRPr="00CE676F">
        <w:t xml:space="preserve">: учебно-методическое пособие / О. В. </w:t>
      </w:r>
      <w:proofErr w:type="spellStart"/>
      <w:r w:rsidRPr="00CE676F">
        <w:t>Лешер</w:t>
      </w:r>
      <w:proofErr w:type="spellEnd"/>
      <w:r w:rsidRPr="00CE676F">
        <w:t>, Л. В. Оринина</w:t>
      </w:r>
      <w:r w:rsidR="002D20CB">
        <w:t>; МГТУ. – Магнитогорск, 2012. – 45 с.: табл. –</w:t>
      </w:r>
      <w:r w:rsidRPr="00CE676F">
        <w:t xml:space="preserve"> URL: </w:t>
      </w:r>
      <w:hyperlink r:id="rId21"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002D20CB">
        <w:t>.10.2020). –</w:t>
      </w:r>
      <w:r w:rsidRPr="00CE676F">
        <w:t xml:space="preserve"> Макро</w:t>
      </w:r>
      <w:r w:rsidR="002D20CB">
        <w:t>объект. – Текст: электронный. –</w:t>
      </w:r>
      <w:r w:rsidRPr="00CE676F">
        <w:t xml:space="preserve"> Имеется печатный аналог.</w:t>
      </w:r>
    </w:p>
    <w:p w:rsidR="00852F3B" w:rsidRDefault="00852F3B" w:rsidP="00852F3B">
      <w:r>
        <w:t xml:space="preserve">9. </w:t>
      </w:r>
      <w:proofErr w:type="spellStart"/>
      <w:r>
        <w:t>Бакеева</w:t>
      </w:r>
      <w:proofErr w:type="spellEnd"/>
      <w:r>
        <w:t xml:space="preserve">, Е. В. Введение в онтологию: учебное пособие для вузов / Е. В. </w:t>
      </w:r>
      <w:proofErr w:type="spellStart"/>
      <w:r>
        <w:t>Бакеева</w:t>
      </w:r>
      <w:proofErr w:type="spellEnd"/>
      <w:r>
        <w:t xml:space="preserve">. – Москва: Издательство </w:t>
      </w:r>
      <w:proofErr w:type="spellStart"/>
      <w:r>
        <w:t>Юрайт</w:t>
      </w:r>
      <w:proofErr w:type="spellEnd"/>
      <w:r>
        <w:t>, 2019; Екатеринбург</w:t>
      </w:r>
      <w:proofErr w:type="gramStart"/>
      <w:r>
        <w:t xml:space="preserve"> :</w:t>
      </w:r>
      <w:proofErr w:type="gramEnd"/>
      <w:r>
        <w:t xml:space="preserve"> Изд-во Урал</w:t>
      </w:r>
      <w:proofErr w:type="gramStart"/>
      <w:r>
        <w:t>.</w:t>
      </w:r>
      <w:proofErr w:type="gramEnd"/>
      <w:r>
        <w:t xml:space="preserve"> </w:t>
      </w:r>
      <w:proofErr w:type="gramStart"/>
      <w:r>
        <w:t>у</w:t>
      </w:r>
      <w:proofErr w:type="gramEnd"/>
      <w:r>
        <w:t xml:space="preserve">н-та. – 385 с. – (Университеты России). – ISBN 978-5-534-02561-3 (Издательство </w:t>
      </w:r>
      <w:proofErr w:type="spellStart"/>
      <w:r>
        <w:t>Юрайт</w:t>
      </w:r>
      <w:proofErr w:type="spellEnd"/>
      <w:r>
        <w:t>). – ISBN 978-5-7996-1925-1 (Изд-во Урал</w:t>
      </w:r>
      <w:proofErr w:type="gramStart"/>
      <w:r>
        <w:t>.</w:t>
      </w:r>
      <w:proofErr w:type="gramEnd"/>
      <w:r>
        <w:t xml:space="preserve"> </w:t>
      </w:r>
      <w:proofErr w:type="gramStart"/>
      <w:r>
        <w:t>у</w:t>
      </w:r>
      <w:proofErr w:type="gramEnd"/>
      <w:r>
        <w:t xml:space="preserve">н-та). – Текст: электронный // ЭБС </w:t>
      </w:r>
      <w:proofErr w:type="spellStart"/>
      <w:r>
        <w:t>Юрайт</w:t>
      </w:r>
      <w:proofErr w:type="spellEnd"/>
      <w:r>
        <w:t xml:space="preserve"> [сайт]. – URL: https://urait.ru/viewer/vvedenie-v-ontologiyu-438027#page/1 (дата обращения: 12.10.2020).</w:t>
      </w:r>
    </w:p>
    <w:p w:rsidR="00852F3B" w:rsidRDefault="00852F3B" w:rsidP="00852F3B">
      <w:r>
        <w:t xml:space="preserve">10. </w:t>
      </w:r>
      <w:r>
        <w:rPr>
          <w:color w:val="000000"/>
          <w:shd w:val="clear" w:color="auto" w:fill="FFFFFF"/>
        </w:rPr>
        <w:t xml:space="preserve">Онтология и теория познания в 2 т. Том 2. Основы теории познания: учебник для вузов/ С.С. Гусев [и др.]; под общей редакцией Б.И. </w:t>
      </w:r>
      <w:proofErr w:type="spellStart"/>
      <w:r>
        <w:rPr>
          <w:color w:val="000000"/>
          <w:shd w:val="clear" w:color="auto" w:fill="FFFFFF"/>
        </w:rPr>
        <w:t>Липского</w:t>
      </w:r>
      <w:proofErr w:type="spellEnd"/>
      <w:r>
        <w:rPr>
          <w:color w:val="000000"/>
          <w:shd w:val="clear" w:color="auto" w:fill="FFFFFF"/>
        </w:rPr>
        <w:t xml:space="preserve">. – 2-е изд., </w:t>
      </w:r>
      <w:proofErr w:type="spellStart"/>
      <w:r>
        <w:rPr>
          <w:color w:val="000000"/>
          <w:shd w:val="clear" w:color="auto" w:fill="FFFFFF"/>
        </w:rPr>
        <w:t>испр</w:t>
      </w:r>
      <w:proofErr w:type="spellEnd"/>
      <w:r>
        <w:rPr>
          <w:color w:val="000000"/>
          <w:shd w:val="clear" w:color="auto" w:fill="FFFFFF"/>
        </w:rPr>
        <w:t xml:space="preserve">. и доп. – Москва: Издательство </w:t>
      </w:r>
      <w:proofErr w:type="spellStart"/>
      <w:r>
        <w:rPr>
          <w:color w:val="000000"/>
          <w:shd w:val="clear" w:color="auto" w:fill="FFFFFF"/>
        </w:rPr>
        <w:t>Юрайт</w:t>
      </w:r>
      <w:proofErr w:type="spellEnd"/>
      <w:r>
        <w:rPr>
          <w:color w:val="000000"/>
          <w:shd w:val="clear" w:color="auto" w:fill="FFFFFF"/>
        </w:rPr>
        <w:t xml:space="preserve">, 2020. – 313с. – (Высшее образование). – ISBN 978-5-534-09674-3. –Текст: электронный // ЭБС </w:t>
      </w:r>
      <w:proofErr w:type="spellStart"/>
      <w:r>
        <w:rPr>
          <w:color w:val="000000"/>
          <w:shd w:val="clear" w:color="auto" w:fill="FFFFFF"/>
        </w:rPr>
        <w:t>Юрайт</w:t>
      </w:r>
      <w:proofErr w:type="spellEnd"/>
      <w:r>
        <w:rPr>
          <w:color w:val="000000"/>
          <w:shd w:val="clear" w:color="auto" w:fill="FFFFFF"/>
        </w:rPr>
        <w:t xml:space="preserve"> [сайт]. – URL: </w:t>
      </w:r>
      <w:hyperlink r:id="rId22" w:history="1">
        <w:r>
          <w:rPr>
            <w:rStyle w:val="ae"/>
          </w:rPr>
          <w:t>https://urait.ru/viewer/ontologiya-i-teoriya-poznaniya-v-2-t-tom-2-osnovy-teorii-poznaniya-453004</w:t>
        </w:r>
      </w:hyperlink>
      <w:r>
        <w:t xml:space="preserve"> </w:t>
      </w:r>
      <w:r>
        <w:rPr>
          <w:color w:val="000000"/>
          <w:shd w:val="clear" w:color="auto" w:fill="FFFFFF"/>
        </w:rPr>
        <w:t>(дата обращения: 12.10.2020).</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w:t>
      </w:r>
      <w:r w:rsidR="00852F3B">
        <w:rPr>
          <w:color w:val="000000"/>
          <w:spacing w:val="2"/>
        </w:rPr>
        <w:t>и с установленными требованиями.</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 xml:space="preserve">Не позднее 3 месяцев после зачисления на обучение по программе аспирантуры </w:t>
      </w:r>
      <w:proofErr w:type="gramStart"/>
      <w:r w:rsidRPr="002543C4">
        <w:t>обучающемуся</w:t>
      </w:r>
      <w:proofErr w:type="gramEnd"/>
      <w:r w:rsidRPr="002543C4">
        <w:t xml:space="preserve">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proofErr w:type="gramStart"/>
      <w:r w:rsidRPr="002543C4">
        <w:t>Обучающемуся</w:t>
      </w:r>
      <w:proofErr w:type="gramEnd"/>
      <w:r w:rsidRPr="002543C4">
        <w:t xml:space="preserve">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lastRenderedPageBreak/>
        <w:t>3.2 Требования к научно-квалификационной работе</w:t>
      </w:r>
    </w:p>
    <w:p w:rsidR="00DA5295" w:rsidRPr="002543C4" w:rsidRDefault="00DA5295" w:rsidP="00AB4C35">
      <w:pPr>
        <w:ind w:right="-1"/>
      </w:pPr>
      <w:r w:rsidRPr="002543C4">
        <w:t xml:space="preserve">Научно-квалификационной работа должна быть оформлена в соответствии с требованиями, устанавливаемыми </w:t>
      </w:r>
      <w:proofErr w:type="spellStart"/>
      <w:r w:rsidR="005F09A4" w:rsidRPr="005F09A4">
        <w:t>Минобрнауки</w:t>
      </w:r>
      <w:proofErr w:type="spellEnd"/>
      <w:r w:rsidR="005F09A4" w:rsidRPr="005F09A4">
        <w:t xml:space="preserve">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AB4C35">
      <w:pPr>
        <w:pStyle w:val="a5"/>
        <w:numPr>
          <w:ilvl w:val="0"/>
          <w:numId w:val="1"/>
        </w:numPr>
        <w:tabs>
          <w:tab w:val="left" w:pos="993"/>
        </w:tabs>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AB4C35">
      <w:pPr>
        <w:pStyle w:val="a5"/>
        <w:numPr>
          <w:ilvl w:val="0"/>
          <w:numId w:val="1"/>
        </w:numPr>
        <w:tabs>
          <w:tab w:val="left" w:pos="993"/>
        </w:tabs>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AB4C35">
      <w:pPr>
        <w:pStyle w:val="a5"/>
        <w:numPr>
          <w:ilvl w:val="0"/>
          <w:numId w:val="1"/>
        </w:numPr>
        <w:tabs>
          <w:tab w:val="left" w:pos="993"/>
        </w:tabs>
        <w:ind w:left="0" w:firstLine="709"/>
      </w:pPr>
      <w:r w:rsidRPr="002543C4">
        <w:t xml:space="preserve">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w:t>
      </w:r>
      <w:proofErr w:type="spellStart"/>
      <w:r w:rsidRPr="002543C4">
        <w:t>культурологии</w:t>
      </w:r>
      <w:proofErr w:type="spellEnd"/>
      <w:r w:rsidRPr="002543C4">
        <w:t>,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AB4C35">
      <w:pPr>
        <w:pStyle w:val="a5"/>
        <w:numPr>
          <w:ilvl w:val="0"/>
          <w:numId w:val="1"/>
        </w:numPr>
        <w:tabs>
          <w:tab w:val="left" w:pos="993"/>
        </w:tabs>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AB4C35">
      <w:pPr>
        <w:pStyle w:val="a5"/>
        <w:numPr>
          <w:ilvl w:val="0"/>
          <w:numId w:val="1"/>
        </w:numPr>
        <w:tabs>
          <w:tab w:val="left" w:pos="993"/>
        </w:tabs>
        <w:ind w:left="0" w:firstLine="709"/>
      </w:pPr>
      <w:r w:rsidRPr="002543C4">
        <w:t xml:space="preserve">НКР аспиранта должна быть оформлена в виде рукописи в соответствии с требованиями ГОСТ </w:t>
      </w:r>
      <w:proofErr w:type="gramStart"/>
      <w:r w:rsidRPr="002543C4">
        <w:t>Р</w:t>
      </w:r>
      <w:proofErr w:type="gramEnd"/>
      <w:r w:rsidRPr="002543C4">
        <w:t xml:space="preserve"> 7.0.11-2011 Диссертация и автореферат диссертации. Структура и правила оформления, и включать:</w:t>
      </w:r>
    </w:p>
    <w:p w:rsidR="00DA5295" w:rsidRPr="002543C4" w:rsidRDefault="00DA5295" w:rsidP="00AB4C35">
      <w:pPr>
        <w:pStyle w:val="a5"/>
        <w:numPr>
          <w:ilvl w:val="0"/>
          <w:numId w:val="2"/>
        </w:numPr>
        <w:tabs>
          <w:tab w:val="left" w:pos="993"/>
        </w:tabs>
        <w:ind w:firstLine="273"/>
      </w:pPr>
      <w:r w:rsidRPr="002543C4">
        <w:t>титульный лист;</w:t>
      </w:r>
    </w:p>
    <w:p w:rsidR="00DA5295" w:rsidRPr="002543C4" w:rsidRDefault="00DA5295" w:rsidP="00AB4C35">
      <w:pPr>
        <w:pStyle w:val="a5"/>
        <w:numPr>
          <w:ilvl w:val="0"/>
          <w:numId w:val="2"/>
        </w:numPr>
        <w:tabs>
          <w:tab w:val="left" w:pos="993"/>
        </w:tabs>
        <w:ind w:firstLine="273"/>
      </w:pPr>
      <w:r w:rsidRPr="002543C4">
        <w:t>оглавление;</w:t>
      </w:r>
    </w:p>
    <w:p w:rsidR="00DA5295" w:rsidRPr="002543C4" w:rsidRDefault="00DA5295" w:rsidP="00AB4C35">
      <w:pPr>
        <w:pStyle w:val="a5"/>
        <w:numPr>
          <w:ilvl w:val="0"/>
          <w:numId w:val="2"/>
        </w:numPr>
        <w:tabs>
          <w:tab w:val="left" w:pos="993"/>
        </w:tabs>
        <w:ind w:firstLine="273"/>
      </w:pPr>
      <w:r w:rsidRPr="002543C4">
        <w:t>текст НКР: введение, основная часть, заключение;</w:t>
      </w:r>
    </w:p>
    <w:p w:rsidR="00DA5295" w:rsidRPr="002543C4" w:rsidRDefault="00AB4C35" w:rsidP="00AB4C35">
      <w:pPr>
        <w:pStyle w:val="a5"/>
        <w:numPr>
          <w:ilvl w:val="0"/>
          <w:numId w:val="2"/>
        </w:numPr>
        <w:tabs>
          <w:tab w:val="left" w:pos="993"/>
        </w:tabs>
        <w:ind w:firstLine="273"/>
      </w:pPr>
      <w:r>
        <w:t>список литературы.</w:t>
      </w:r>
    </w:p>
    <w:p w:rsidR="00DA5295" w:rsidRPr="002543C4" w:rsidRDefault="00DA5295" w:rsidP="00DA5295">
      <w:pPr>
        <w:pStyle w:val="1"/>
      </w:pPr>
      <w:r w:rsidRPr="002543C4">
        <w:t>3.3 Порядок представления научно-квалификационной работы</w:t>
      </w:r>
    </w:p>
    <w:p w:rsidR="00DA5295" w:rsidRPr="002543C4" w:rsidRDefault="00DA5295" w:rsidP="00DA5295">
      <w:pPr>
        <w:ind w:right="170"/>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lastRenderedPageBreak/>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lastRenderedPageBreak/>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Результаты заслушивания доклад</w:t>
      </w:r>
      <w:r w:rsidR="00D018A8">
        <w:t xml:space="preserve">а о результатах подготовленной </w:t>
      </w:r>
      <w:r w:rsidRPr="002543C4">
        <w:t xml:space="preserve">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 xml:space="preserve">Решение об оценке принимается на закрытом заседании ГЭК </w:t>
      </w:r>
      <w:proofErr w:type="gramStart"/>
      <w:r w:rsidRPr="002543C4">
        <w:t>по</w:t>
      </w:r>
      <w:proofErr w:type="gramEnd"/>
      <w:r w:rsidRPr="002543C4">
        <w:t xml:space="preserve"> </w:t>
      </w:r>
      <w:proofErr w:type="gramStart"/>
      <w:r w:rsidRPr="002543C4">
        <w:t>окончании</w:t>
      </w:r>
      <w:proofErr w:type="gramEnd"/>
      <w:r w:rsidRPr="002543C4">
        <w:t xml:space="preserve">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FF6EEB" w:rsidRDefault="00DA5295" w:rsidP="00DA5295">
      <w:pPr>
        <w:rPr>
          <w:iCs/>
          <w:szCs w:val="32"/>
        </w:rPr>
      </w:pPr>
      <w:r w:rsidRPr="002543C4">
        <w:rPr>
          <w:iCs/>
          <w:szCs w:val="32"/>
        </w:rPr>
        <w:t xml:space="preserve">– </w:t>
      </w:r>
      <w:r w:rsidRPr="00FF6EEB">
        <w:rPr>
          <w:iCs/>
          <w:szCs w:val="32"/>
        </w:rPr>
        <w:t>умение представить работу в научном докладе, уровень речевой культуры.</w:t>
      </w:r>
    </w:p>
    <w:p w:rsidR="00DA5295" w:rsidRPr="00FF6EEB" w:rsidRDefault="00DA5295" w:rsidP="00DA5295">
      <w:pPr>
        <w:ind w:right="170"/>
      </w:pPr>
      <w:r w:rsidRPr="00FF6EEB">
        <w:t>Результаты представления докла</w:t>
      </w:r>
      <w:r w:rsidR="00FA41EE" w:rsidRPr="00FF6EEB">
        <w:t xml:space="preserve">да о результатах </w:t>
      </w:r>
      <w:proofErr w:type="gramStart"/>
      <w:r w:rsidR="00FA41EE" w:rsidRPr="00FF6EEB">
        <w:t>подготовленной</w:t>
      </w:r>
      <w:proofErr w:type="gramEnd"/>
      <w:r w:rsidRPr="00FF6EEB">
        <w:t xml:space="preserve"> НКР определяются оценками: «отлично», «хорошо», «удовлетворительно»</w:t>
      </w:r>
      <w:r w:rsidR="00E912AA" w:rsidRPr="00FF6EEB">
        <w:t>, «неудовлетворительно»</w:t>
      </w:r>
      <w:r w:rsidRPr="00FF6EEB">
        <w:t>:</w:t>
      </w:r>
    </w:p>
    <w:p w:rsidR="00FF6EEB" w:rsidRPr="00FF6EEB" w:rsidRDefault="00DA5295" w:rsidP="00FF6EEB">
      <w:pPr>
        <w:pStyle w:val="11"/>
        <w:shd w:val="clear" w:color="auto" w:fill="FFFFFF"/>
        <w:ind w:right="-1" w:firstLine="567"/>
        <w:rPr>
          <w:color w:val="000000"/>
          <w:sz w:val="24"/>
        </w:rPr>
      </w:pPr>
      <w:r w:rsidRPr="00FF6EEB">
        <w:rPr>
          <w:color w:val="000000"/>
          <w:sz w:val="24"/>
        </w:rPr>
        <w:t xml:space="preserve">– оценка </w:t>
      </w:r>
      <w:r w:rsidRPr="00FF6EEB">
        <w:rPr>
          <w:b/>
          <w:color w:val="000000"/>
          <w:sz w:val="24"/>
        </w:rPr>
        <w:t>«отлично»</w:t>
      </w:r>
      <w:r w:rsidRPr="002543C4">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r w:rsidR="00FF6EEB">
        <w:rPr>
          <w:color w:val="000000"/>
          <w:sz w:val="24"/>
        </w:rPr>
        <w:t xml:space="preserve">. </w:t>
      </w:r>
      <w:r w:rsidR="00FF6EEB" w:rsidRPr="00FF6EEB">
        <w:rPr>
          <w:rFonts w:eastAsiaTheme="minorHAnsi"/>
          <w:color w:val="000000"/>
          <w:sz w:val="23"/>
          <w:szCs w:val="23"/>
          <w:lang w:eastAsia="en-US"/>
        </w:rPr>
        <w:t>Аспирант демонстрирует высокий уровень научной эрудиции, свободное владение профессиональной терминологией. В процессе защиты научного доклада аспирант представляет развернутые рекомендации по дальнейшим направленностям научных исследований по проблематике научной работы, в том числе в рамках междисциплинарных исследований. Аспирант предлагает решение актуальных научно-прикладных задач в рамках исследуемой проблематики. Основные результаты научно-квалификационной работы (диссертации) являются оригинальными, отсутствуют некорректные заимствования материалов или отдельных результатов</w:t>
      </w:r>
      <w:r w:rsidR="00FF6EEB">
        <w:rPr>
          <w:rFonts w:eastAsiaTheme="minorHAnsi"/>
          <w:color w:val="000000"/>
          <w:sz w:val="23"/>
          <w:szCs w:val="23"/>
          <w:lang w:eastAsia="en-US"/>
        </w:rPr>
        <w:t>;</w:t>
      </w:r>
    </w:p>
    <w:p w:rsidR="00FF6EEB" w:rsidRPr="002543C4" w:rsidRDefault="00DA5295" w:rsidP="00FF6EEB">
      <w:pPr>
        <w:pStyle w:val="11"/>
        <w:shd w:val="clear" w:color="auto" w:fill="FFFFFF"/>
        <w:ind w:right="-1" w:firstLine="567"/>
        <w:rPr>
          <w:color w:val="000000"/>
          <w:sz w:val="24"/>
        </w:rPr>
      </w:pPr>
      <w:r w:rsidRPr="002543C4">
        <w:rPr>
          <w:color w:val="000000"/>
          <w:sz w:val="24"/>
        </w:rPr>
        <w:t xml:space="preserve">– оценка </w:t>
      </w:r>
      <w:r w:rsidRPr="002543C4">
        <w:rPr>
          <w:b/>
          <w:color w:val="000000"/>
          <w:sz w:val="24"/>
        </w:rPr>
        <w:t>«хорошо»</w:t>
      </w:r>
      <w:r w:rsidRPr="002543C4">
        <w:rPr>
          <w:color w:val="000000"/>
          <w:sz w:val="24"/>
        </w:rPr>
        <w:t xml:space="preserve"> – выставляется за раскрытие темы, хорошо проработанное </w:t>
      </w:r>
      <w:r w:rsidRPr="002543C4">
        <w:rPr>
          <w:color w:val="000000"/>
          <w:sz w:val="24"/>
        </w:rPr>
        <w:lastRenderedPageBreak/>
        <w:t>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FF6EEB">
        <w:rPr>
          <w:color w:val="000000"/>
          <w:sz w:val="24"/>
        </w:rPr>
        <w:t xml:space="preserve">енов ГЭК. </w:t>
      </w:r>
      <w:r w:rsidR="00FF6EEB" w:rsidRPr="00FF6EEB">
        <w:rPr>
          <w:rFonts w:eastAsiaTheme="minorHAnsi"/>
          <w:color w:val="000000"/>
          <w:sz w:val="23"/>
          <w:szCs w:val="23"/>
          <w:lang w:eastAsia="en-US"/>
        </w:rPr>
        <w:t>Аспирант демонстрирует достойный уровень научной эрудиции, почти свободное владение профессиональной терминологией. В процессе защиты научного доклада аспирант предлагает рекомендации по дальнейшим направлениям научных исследований по проблематике научной работы. Аспирант демонстрирует умение решения актуальных научно-прикладных задач в рамках исследуемой проблематики. Основные результаты научно-квалификационной работы (диссертации) являются оригинальными, при этом допускаются отдельные не значительные содержательные неточности в тексте работы</w:t>
      </w:r>
      <w:r w:rsidR="00FF6EEB">
        <w:rPr>
          <w:rFonts w:eastAsiaTheme="minorHAnsi"/>
          <w:color w:val="000000"/>
          <w:sz w:val="23"/>
          <w:szCs w:val="23"/>
          <w:lang w:eastAsia="en-US"/>
        </w:rPr>
        <w:t>;</w:t>
      </w:r>
    </w:p>
    <w:p w:rsidR="00D93628" w:rsidRPr="00D93628" w:rsidRDefault="00DA5295" w:rsidP="00D93628">
      <w:pPr>
        <w:pStyle w:val="11"/>
        <w:shd w:val="clear" w:color="auto" w:fill="FFFFFF"/>
        <w:tabs>
          <w:tab w:val="left" w:pos="567"/>
        </w:tabs>
        <w:ind w:right="-1" w:firstLine="567"/>
        <w:rPr>
          <w:color w:val="000000"/>
          <w:sz w:val="24"/>
        </w:rPr>
      </w:pPr>
      <w:r w:rsidRPr="002543C4">
        <w:rPr>
          <w:color w:val="000000"/>
          <w:sz w:val="24"/>
        </w:rPr>
        <w:t xml:space="preserve">– оценка </w:t>
      </w:r>
      <w:r w:rsidRPr="002543C4">
        <w:rPr>
          <w:b/>
          <w:color w:val="000000"/>
          <w:sz w:val="24"/>
        </w:rPr>
        <w:t>«удовлетворительно»</w:t>
      </w:r>
      <w:r w:rsidRPr="002543C4">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2543C4">
        <w:rPr>
          <w:color w:val="000000"/>
          <w:sz w:val="24"/>
        </w:rPr>
        <w:t>от</w:t>
      </w:r>
      <w:proofErr w:type="gramEnd"/>
      <w:r w:rsidRPr="002543C4">
        <w:rPr>
          <w:color w:val="000000"/>
          <w:sz w:val="24"/>
        </w:rPr>
        <w:t xml:space="preserve"> </w:t>
      </w:r>
      <w:proofErr w:type="gramStart"/>
      <w:r w:rsidRPr="002543C4">
        <w:rPr>
          <w:color w:val="000000"/>
          <w:sz w:val="24"/>
        </w:rPr>
        <w:t>требовании</w:t>
      </w:r>
      <w:proofErr w:type="gramEnd"/>
      <w:r w:rsidRPr="002543C4">
        <w:rPr>
          <w:color w:val="000000"/>
          <w:sz w:val="24"/>
        </w:rPr>
        <w:t>, отсутствие наглядного представления работы и затруднения при</w:t>
      </w:r>
      <w:r w:rsidR="00E912AA">
        <w:rPr>
          <w:color w:val="000000"/>
          <w:sz w:val="24"/>
        </w:rPr>
        <w:t xml:space="preserve"> ответах на вопросы членов ГЭК</w:t>
      </w:r>
      <w:r w:rsidR="00D93628">
        <w:rPr>
          <w:color w:val="000000"/>
          <w:sz w:val="24"/>
        </w:rPr>
        <w:t xml:space="preserve">. </w:t>
      </w:r>
      <w:r w:rsidR="00D93628" w:rsidRPr="00D93628">
        <w:rPr>
          <w:rFonts w:eastAsiaTheme="minorHAnsi"/>
          <w:color w:val="000000"/>
          <w:sz w:val="23"/>
          <w:szCs w:val="23"/>
          <w:lang w:eastAsia="en-US"/>
        </w:rPr>
        <w:t>Аспирант демонстрирует не достаточный уровень научной эрудиции. В процессе защиты научного доклада аспирант представляет рекомендации по дальнейшим направленностям научных исследований по проблематике научной работы в узкой научной области. Аспирант способен предложить решение актуальных научно-прикладных задач в рамках исследуемой проблематики с недочетами и недостатками. Основные результаты научно-квалификационной работы (диссертации) являются оригинальными, но присутствуют отдельные содержательные и технические недостатки в оформлении результатов заимствования;</w:t>
      </w:r>
    </w:p>
    <w:p w:rsidR="00D93628" w:rsidRPr="00D93628" w:rsidRDefault="00E912AA" w:rsidP="00D93628">
      <w:pPr>
        <w:pStyle w:val="11"/>
        <w:shd w:val="clear" w:color="auto" w:fill="FFFFFF"/>
        <w:ind w:right="-1" w:firstLine="567"/>
        <w:rPr>
          <w:i/>
          <w:iCs/>
          <w:color w:val="FF0000"/>
          <w:sz w:val="24"/>
          <w:szCs w:val="24"/>
          <w:highlight w:val="green"/>
        </w:rPr>
      </w:pPr>
      <w:r w:rsidRPr="00D93628">
        <w:rPr>
          <w:color w:val="000000"/>
          <w:sz w:val="24"/>
        </w:rPr>
        <w:t xml:space="preserve">– оценка </w:t>
      </w:r>
      <w:r w:rsidRPr="00D93628">
        <w:rPr>
          <w:b/>
          <w:color w:val="000000"/>
          <w:sz w:val="24"/>
        </w:rPr>
        <w:t>«неудовлетворительно»</w:t>
      </w:r>
      <w:r w:rsidRPr="00D93628">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w:t>
      </w:r>
      <w:proofErr w:type="gramStart"/>
      <w:r w:rsidRPr="00D93628">
        <w:rPr>
          <w:color w:val="000000"/>
          <w:sz w:val="24"/>
        </w:rPr>
        <w:t>обучающийся</w:t>
      </w:r>
      <w:proofErr w:type="gramEnd"/>
      <w:r w:rsidRPr="00D93628">
        <w:rPr>
          <w:color w:val="000000"/>
          <w:sz w:val="24"/>
        </w:rPr>
        <w:t xml:space="preserve"> допускает существенные ошибки при ответе на вопросы членов ГЭК.</w:t>
      </w:r>
      <w:r w:rsidRPr="00D93628">
        <w:rPr>
          <w:i/>
          <w:iCs/>
          <w:color w:val="FF0000"/>
          <w:sz w:val="24"/>
          <w:szCs w:val="24"/>
        </w:rPr>
        <w:t xml:space="preserve"> </w:t>
      </w:r>
      <w:r w:rsidR="00D93628" w:rsidRPr="00D93628">
        <w:rPr>
          <w:rFonts w:eastAsiaTheme="minorHAnsi"/>
          <w:color w:val="000000"/>
          <w:sz w:val="23"/>
          <w:szCs w:val="23"/>
          <w:lang w:eastAsia="en-US"/>
        </w:rPr>
        <w:t xml:space="preserve">Аспирант демонстрирует низкий уровень научной эрудиции. В процессе защиты научного доклада отсутствуют сформулированные рекомендации по дальнейшим направлениям научных исследований по проблеме. Аспирант не готов и не умеет предлагать решение актуальных научно-прикладных задач в рамках исследуемой проблематики, оценивать последствия принятого решения и нести за него ответственность перед собой и обществом. Основные результаты научно-квалификационной работы (диссертации) не являются оригинальными, в тексте работы и публикациях присутствуют некорректные заимствования материалов или отдельных результатов. </w:t>
      </w:r>
    </w:p>
    <w:sectPr w:rsidR="00D93628" w:rsidRPr="00D93628" w:rsidSect="00C8181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28A" w:rsidRDefault="00F5028A" w:rsidP="006F0FEB">
      <w:pPr>
        <w:spacing w:line="240" w:lineRule="auto"/>
      </w:pPr>
      <w:r>
        <w:separator/>
      </w:r>
    </w:p>
  </w:endnote>
  <w:endnote w:type="continuationSeparator" w:id="1">
    <w:p w:rsidR="00F5028A" w:rsidRDefault="00F5028A" w:rsidP="006F0F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266"/>
      <w:docPartObj>
        <w:docPartGallery w:val="Page Numbers (Bottom of Page)"/>
        <w:docPartUnique/>
      </w:docPartObj>
    </w:sdtPr>
    <w:sdtContent>
      <w:p w:rsidR="003F51F8" w:rsidRDefault="00966C47" w:rsidP="006F0FEB">
        <w:pPr>
          <w:pStyle w:val="a8"/>
          <w:jc w:val="right"/>
        </w:pPr>
        <w:fldSimple w:instr=" PAGE   \* MERGEFORMAT ">
          <w:r w:rsidR="008142A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28A" w:rsidRDefault="00F5028A" w:rsidP="006F0FEB">
      <w:pPr>
        <w:spacing w:line="240" w:lineRule="auto"/>
      </w:pPr>
      <w:r>
        <w:separator/>
      </w:r>
    </w:p>
  </w:footnote>
  <w:footnote w:type="continuationSeparator" w:id="1">
    <w:p w:rsidR="00F5028A" w:rsidRDefault="00F5028A" w:rsidP="006F0F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drawingGridHorizontalSpacing w:val="120"/>
  <w:displayHorizontalDrawingGridEvery w:val="2"/>
  <w:characterSpacingControl w:val="doNotCompress"/>
  <w:hdrShapeDefaults>
    <o:shapedefaults v:ext="edit" spidmax="138241"/>
  </w:hdrShapeDefaults>
  <w:footnotePr>
    <w:footnote w:id="0"/>
    <w:footnote w:id="1"/>
  </w:footnotePr>
  <w:endnotePr>
    <w:endnote w:id="0"/>
    <w:endnote w:id="1"/>
  </w:endnotePr>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21FA"/>
    <w:rsid w:val="00064E82"/>
    <w:rsid w:val="0006695E"/>
    <w:rsid w:val="00070A60"/>
    <w:rsid w:val="00071187"/>
    <w:rsid w:val="000713BD"/>
    <w:rsid w:val="000717B1"/>
    <w:rsid w:val="00076A8E"/>
    <w:rsid w:val="00080758"/>
    <w:rsid w:val="00084662"/>
    <w:rsid w:val="00085098"/>
    <w:rsid w:val="00085F7A"/>
    <w:rsid w:val="0008717C"/>
    <w:rsid w:val="0008738E"/>
    <w:rsid w:val="00087AD5"/>
    <w:rsid w:val="00090C53"/>
    <w:rsid w:val="000938A9"/>
    <w:rsid w:val="00093D2E"/>
    <w:rsid w:val="000A0CC5"/>
    <w:rsid w:val="000A2D58"/>
    <w:rsid w:val="000A3C7E"/>
    <w:rsid w:val="000A450A"/>
    <w:rsid w:val="000A7C16"/>
    <w:rsid w:val="000C20FE"/>
    <w:rsid w:val="000C44F0"/>
    <w:rsid w:val="000D1DF8"/>
    <w:rsid w:val="000E2F04"/>
    <w:rsid w:val="000E5CF6"/>
    <w:rsid w:val="000F1462"/>
    <w:rsid w:val="000F6869"/>
    <w:rsid w:val="000F72FC"/>
    <w:rsid w:val="000F7B7C"/>
    <w:rsid w:val="000F7EDF"/>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1B"/>
    <w:rsid w:val="00180AFF"/>
    <w:rsid w:val="0018529A"/>
    <w:rsid w:val="00186552"/>
    <w:rsid w:val="00186EC9"/>
    <w:rsid w:val="00187125"/>
    <w:rsid w:val="00190846"/>
    <w:rsid w:val="00195B7F"/>
    <w:rsid w:val="00197ACF"/>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2EB5"/>
    <w:rsid w:val="00224227"/>
    <w:rsid w:val="002264BA"/>
    <w:rsid w:val="00226A49"/>
    <w:rsid w:val="002342C3"/>
    <w:rsid w:val="00242B0A"/>
    <w:rsid w:val="00243533"/>
    <w:rsid w:val="002439E8"/>
    <w:rsid w:val="002543C4"/>
    <w:rsid w:val="0025499C"/>
    <w:rsid w:val="002565CC"/>
    <w:rsid w:val="00261DAE"/>
    <w:rsid w:val="00263515"/>
    <w:rsid w:val="00266188"/>
    <w:rsid w:val="00272705"/>
    <w:rsid w:val="00276F8D"/>
    <w:rsid w:val="00277AC8"/>
    <w:rsid w:val="00282723"/>
    <w:rsid w:val="002828F6"/>
    <w:rsid w:val="00284629"/>
    <w:rsid w:val="00284656"/>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B7395"/>
    <w:rsid w:val="002C555A"/>
    <w:rsid w:val="002C5F1D"/>
    <w:rsid w:val="002C68AF"/>
    <w:rsid w:val="002D0028"/>
    <w:rsid w:val="002D1B15"/>
    <w:rsid w:val="002D20CB"/>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2D2E"/>
    <w:rsid w:val="0035483C"/>
    <w:rsid w:val="003555F1"/>
    <w:rsid w:val="00356420"/>
    <w:rsid w:val="00357180"/>
    <w:rsid w:val="003571AF"/>
    <w:rsid w:val="00362361"/>
    <w:rsid w:val="00363063"/>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081B"/>
    <w:rsid w:val="003917D3"/>
    <w:rsid w:val="00392287"/>
    <w:rsid w:val="003927F2"/>
    <w:rsid w:val="00392EF4"/>
    <w:rsid w:val="00393382"/>
    <w:rsid w:val="003939B0"/>
    <w:rsid w:val="00395668"/>
    <w:rsid w:val="00395839"/>
    <w:rsid w:val="003A2EDC"/>
    <w:rsid w:val="003A2FFE"/>
    <w:rsid w:val="003A31F2"/>
    <w:rsid w:val="003A6F28"/>
    <w:rsid w:val="003B042C"/>
    <w:rsid w:val="003B074E"/>
    <w:rsid w:val="003B414F"/>
    <w:rsid w:val="003B5E51"/>
    <w:rsid w:val="003B5F1F"/>
    <w:rsid w:val="003B71AC"/>
    <w:rsid w:val="003B7DEC"/>
    <w:rsid w:val="003C0667"/>
    <w:rsid w:val="003C0DF7"/>
    <w:rsid w:val="003C2943"/>
    <w:rsid w:val="003C4FDD"/>
    <w:rsid w:val="003C7125"/>
    <w:rsid w:val="003C77B0"/>
    <w:rsid w:val="003C7CC6"/>
    <w:rsid w:val="003C7DCB"/>
    <w:rsid w:val="003D08E2"/>
    <w:rsid w:val="003D4A62"/>
    <w:rsid w:val="003D4CC6"/>
    <w:rsid w:val="003D7CE7"/>
    <w:rsid w:val="003E2304"/>
    <w:rsid w:val="003E38DB"/>
    <w:rsid w:val="003E4382"/>
    <w:rsid w:val="003F45B4"/>
    <w:rsid w:val="003F51F8"/>
    <w:rsid w:val="003F7964"/>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1DB3"/>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026B"/>
    <w:rsid w:val="00503929"/>
    <w:rsid w:val="00504D2B"/>
    <w:rsid w:val="00506564"/>
    <w:rsid w:val="00510626"/>
    <w:rsid w:val="00513789"/>
    <w:rsid w:val="00521B45"/>
    <w:rsid w:val="00521C71"/>
    <w:rsid w:val="00521E4D"/>
    <w:rsid w:val="00522A9F"/>
    <w:rsid w:val="00523142"/>
    <w:rsid w:val="00523CF5"/>
    <w:rsid w:val="0052552B"/>
    <w:rsid w:val="00527B29"/>
    <w:rsid w:val="005328F6"/>
    <w:rsid w:val="00533100"/>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605"/>
    <w:rsid w:val="005E4C55"/>
    <w:rsid w:val="005F0036"/>
    <w:rsid w:val="005F05E2"/>
    <w:rsid w:val="005F09A4"/>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2F3C"/>
    <w:rsid w:val="00664A4F"/>
    <w:rsid w:val="0067362B"/>
    <w:rsid w:val="00673C59"/>
    <w:rsid w:val="00674931"/>
    <w:rsid w:val="006758D1"/>
    <w:rsid w:val="00681C71"/>
    <w:rsid w:val="006825ED"/>
    <w:rsid w:val="00683E0C"/>
    <w:rsid w:val="0068610C"/>
    <w:rsid w:val="006907EC"/>
    <w:rsid w:val="00694BD7"/>
    <w:rsid w:val="00695E3C"/>
    <w:rsid w:val="006A0574"/>
    <w:rsid w:val="006A6B18"/>
    <w:rsid w:val="006A74D8"/>
    <w:rsid w:val="006B2D16"/>
    <w:rsid w:val="006B522A"/>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39C3"/>
    <w:rsid w:val="006F47E2"/>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31FD"/>
    <w:rsid w:val="00794D7C"/>
    <w:rsid w:val="007A7A5C"/>
    <w:rsid w:val="007B0457"/>
    <w:rsid w:val="007B1154"/>
    <w:rsid w:val="007B36B5"/>
    <w:rsid w:val="007B46A1"/>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142AF"/>
    <w:rsid w:val="008209DA"/>
    <w:rsid w:val="00821FFB"/>
    <w:rsid w:val="00822E65"/>
    <w:rsid w:val="00824566"/>
    <w:rsid w:val="0082510A"/>
    <w:rsid w:val="00827838"/>
    <w:rsid w:val="00833594"/>
    <w:rsid w:val="00836B2E"/>
    <w:rsid w:val="00843276"/>
    <w:rsid w:val="00843520"/>
    <w:rsid w:val="008502F6"/>
    <w:rsid w:val="00850A93"/>
    <w:rsid w:val="00852B95"/>
    <w:rsid w:val="00852F3B"/>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C4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5D96"/>
    <w:rsid w:val="009B7C29"/>
    <w:rsid w:val="009C2CB2"/>
    <w:rsid w:val="009C34E9"/>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6913"/>
    <w:rsid w:val="00A46DEA"/>
    <w:rsid w:val="00A53CBD"/>
    <w:rsid w:val="00A53E81"/>
    <w:rsid w:val="00A54EA0"/>
    <w:rsid w:val="00A550F8"/>
    <w:rsid w:val="00A60A36"/>
    <w:rsid w:val="00A64564"/>
    <w:rsid w:val="00A6589F"/>
    <w:rsid w:val="00A661A8"/>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4C35"/>
    <w:rsid w:val="00AB5D13"/>
    <w:rsid w:val="00AB5FDD"/>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45E1"/>
    <w:rsid w:val="00AF68B4"/>
    <w:rsid w:val="00B00A97"/>
    <w:rsid w:val="00B00EF0"/>
    <w:rsid w:val="00B017DA"/>
    <w:rsid w:val="00B041D1"/>
    <w:rsid w:val="00B052DE"/>
    <w:rsid w:val="00B06769"/>
    <w:rsid w:val="00B06E3D"/>
    <w:rsid w:val="00B10B1F"/>
    <w:rsid w:val="00B11943"/>
    <w:rsid w:val="00B16BF6"/>
    <w:rsid w:val="00B21148"/>
    <w:rsid w:val="00B237C7"/>
    <w:rsid w:val="00B27A12"/>
    <w:rsid w:val="00B306C0"/>
    <w:rsid w:val="00B30D4E"/>
    <w:rsid w:val="00B31A30"/>
    <w:rsid w:val="00B32B55"/>
    <w:rsid w:val="00B34ED6"/>
    <w:rsid w:val="00B35C8C"/>
    <w:rsid w:val="00B361BE"/>
    <w:rsid w:val="00B42997"/>
    <w:rsid w:val="00B4462A"/>
    <w:rsid w:val="00B451F4"/>
    <w:rsid w:val="00B519B2"/>
    <w:rsid w:val="00B53D64"/>
    <w:rsid w:val="00B55264"/>
    <w:rsid w:val="00B622BE"/>
    <w:rsid w:val="00B6388F"/>
    <w:rsid w:val="00B65646"/>
    <w:rsid w:val="00B671C1"/>
    <w:rsid w:val="00B71E3A"/>
    <w:rsid w:val="00B74BDC"/>
    <w:rsid w:val="00B7531F"/>
    <w:rsid w:val="00B764A1"/>
    <w:rsid w:val="00B77DEC"/>
    <w:rsid w:val="00B826C0"/>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E383A"/>
    <w:rsid w:val="00BF0564"/>
    <w:rsid w:val="00BF2C83"/>
    <w:rsid w:val="00BF620E"/>
    <w:rsid w:val="00C01F4A"/>
    <w:rsid w:val="00C01FBD"/>
    <w:rsid w:val="00C040AA"/>
    <w:rsid w:val="00C06F17"/>
    <w:rsid w:val="00C13E19"/>
    <w:rsid w:val="00C142FA"/>
    <w:rsid w:val="00C2059C"/>
    <w:rsid w:val="00C21B2F"/>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6851"/>
    <w:rsid w:val="00CF718D"/>
    <w:rsid w:val="00CF7D98"/>
    <w:rsid w:val="00D018A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1D"/>
    <w:rsid w:val="00D82C2F"/>
    <w:rsid w:val="00D83E66"/>
    <w:rsid w:val="00D8438A"/>
    <w:rsid w:val="00D93628"/>
    <w:rsid w:val="00D93F64"/>
    <w:rsid w:val="00D94143"/>
    <w:rsid w:val="00D9647A"/>
    <w:rsid w:val="00DA11E1"/>
    <w:rsid w:val="00DA137F"/>
    <w:rsid w:val="00DA17F7"/>
    <w:rsid w:val="00DA5295"/>
    <w:rsid w:val="00DA5727"/>
    <w:rsid w:val="00DA5AA4"/>
    <w:rsid w:val="00DA7505"/>
    <w:rsid w:val="00DB3C9D"/>
    <w:rsid w:val="00DB482E"/>
    <w:rsid w:val="00DC160C"/>
    <w:rsid w:val="00DC2456"/>
    <w:rsid w:val="00DC27C0"/>
    <w:rsid w:val="00DC3D4E"/>
    <w:rsid w:val="00DC630C"/>
    <w:rsid w:val="00DC6DC2"/>
    <w:rsid w:val="00DC7DFD"/>
    <w:rsid w:val="00DD0B6B"/>
    <w:rsid w:val="00DD3D03"/>
    <w:rsid w:val="00DE1C8F"/>
    <w:rsid w:val="00DE5CA5"/>
    <w:rsid w:val="00DF051D"/>
    <w:rsid w:val="00DF4414"/>
    <w:rsid w:val="00DF5C84"/>
    <w:rsid w:val="00DF636E"/>
    <w:rsid w:val="00E02918"/>
    <w:rsid w:val="00E04A19"/>
    <w:rsid w:val="00E05E4A"/>
    <w:rsid w:val="00E12CCD"/>
    <w:rsid w:val="00E13814"/>
    <w:rsid w:val="00E14E1D"/>
    <w:rsid w:val="00E22FDC"/>
    <w:rsid w:val="00E24CE5"/>
    <w:rsid w:val="00E25854"/>
    <w:rsid w:val="00E364F8"/>
    <w:rsid w:val="00E37227"/>
    <w:rsid w:val="00E414A9"/>
    <w:rsid w:val="00E4280E"/>
    <w:rsid w:val="00E47365"/>
    <w:rsid w:val="00E53F55"/>
    <w:rsid w:val="00E54FBF"/>
    <w:rsid w:val="00E56B48"/>
    <w:rsid w:val="00E57730"/>
    <w:rsid w:val="00E60017"/>
    <w:rsid w:val="00E6285A"/>
    <w:rsid w:val="00E628BA"/>
    <w:rsid w:val="00E648AB"/>
    <w:rsid w:val="00E64AC6"/>
    <w:rsid w:val="00E65FD6"/>
    <w:rsid w:val="00E74540"/>
    <w:rsid w:val="00E76E68"/>
    <w:rsid w:val="00E77962"/>
    <w:rsid w:val="00E82DA0"/>
    <w:rsid w:val="00E84A7B"/>
    <w:rsid w:val="00E86BB5"/>
    <w:rsid w:val="00E87D09"/>
    <w:rsid w:val="00E912AA"/>
    <w:rsid w:val="00E914E3"/>
    <w:rsid w:val="00E93E4F"/>
    <w:rsid w:val="00E97074"/>
    <w:rsid w:val="00E97F24"/>
    <w:rsid w:val="00EA3C45"/>
    <w:rsid w:val="00EA3E0B"/>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471FD"/>
    <w:rsid w:val="00F5028A"/>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41EE"/>
    <w:rsid w:val="00FA6376"/>
    <w:rsid w:val="00FB0543"/>
    <w:rsid w:val="00FB44D4"/>
    <w:rsid w:val="00FB7738"/>
    <w:rsid w:val="00FC204D"/>
    <w:rsid w:val="00FC75F4"/>
    <w:rsid w:val="00FD308E"/>
    <w:rsid w:val="00FD740E"/>
    <w:rsid w:val="00FE4B49"/>
    <w:rsid w:val="00FE683B"/>
    <w:rsid w:val="00FE7FC0"/>
    <w:rsid w:val="00FF0C13"/>
    <w:rsid w:val="00FF0C4E"/>
    <w:rsid w:val="00FF146A"/>
    <w:rsid w:val="00FF16D3"/>
    <w:rsid w:val="00FF2F12"/>
    <w:rsid w:val="00FF5ACC"/>
    <w:rsid w:val="00FF6438"/>
    <w:rsid w:val="00FF65BD"/>
    <w:rsid w:val="00FF66C0"/>
    <w:rsid w:val="00FF6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styleId="af0">
    <w:name w:val="Balloon Text"/>
    <w:basedOn w:val="a"/>
    <w:link w:val="af1"/>
    <w:uiPriority w:val="99"/>
    <w:semiHidden/>
    <w:unhideWhenUsed/>
    <w:rsid w:val="00AF45E1"/>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45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8915295">
      <w:bodyDiv w:val="1"/>
      <w:marLeft w:val="0"/>
      <w:marRight w:val="0"/>
      <w:marTop w:val="0"/>
      <w:marBottom w:val="0"/>
      <w:divBdr>
        <w:top w:val="none" w:sz="0" w:space="0" w:color="auto"/>
        <w:left w:val="none" w:sz="0" w:space="0" w:color="auto"/>
        <w:bottom w:val="none" w:sz="0" w:space="0" w:color="auto"/>
        <w:right w:val="none" w:sz="0" w:space="0" w:color="auto"/>
      </w:divBdr>
    </w:div>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ait.ru/bcode/452096"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572.pdf&amp;show=dcatalogues/1/1100721/572.pdf&amp;view=tru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rait.ru/bcode/452858" TargetMode="External"/><Relationship Id="rId2" Type="http://schemas.openxmlformats.org/officeDocument/2006/relationships/customXml" Target="../customXml/item2.xml"/><Relationship Id="rId16" Type="http://schemas.openxmlformats.org/officeDocument/2006/relationships/hyperlink" Target="https://urait.ru/bcode/451678" TargetMode="External"/><Relationship Id="rId20" Type="http://schemas.openxmlformats.org/officeDocument/2006/relationships/hyperlink" Target="https://magtu.informsystema.ru/uploader/fileUpload?name=4149.pdf&amp;show=dcatalogues/1/1535294/414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hodolog.ru/books/methodology.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rait.ru/bcode/4517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nanium.com/catalog/product/1056236" TargetMode="External"/><Relationship Id="rId22" Type="http://schemas.openxmlformats.org/officeDocument/2006/relationships/hyperlink" Target="https://urait.ru/viewer/ontologiya-i-teoriya-poznaniya-v-2-t-tom-2-osnovy-teorii-poznaniya-453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6DFBA-0041-4744-962F-6CC63166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13</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32405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subject/>
  <dc:creator>m.kolesnikova</dc:creator>
  <cp:keywords/>
  <dc:description/>
  <cp:lastModifiedBy>v.kononenko</cp:lastModifiedBy>
  <cp:revision>123</cp:revision>
  <cp:lastPrinted>2015-03-17T10:48:00Z</cp:lastPrinted>
  <dcterms:created xsi:type="dcterms:W3CDTF">2015-03-09T05:50:00Z</dcterms:created>
  <dcterms:modified xsi:type="dcterms:W3CDTF">2020-11-25T08:23:00Z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