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проектирование об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ирование обог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  <w:r w:rsidRPr="00A518C6">
        <w:rPr>
          <w:noProof/>
        </w:rPr>
        <w:lastRenderedPageBreak/>
        <w:drawing>
          <wp:inline distT="0" distB="0" distL="0" distR="0">
            <wp:extent cx="5940425" cy="8432232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Pr="00A518C6" w:rsidRDefault="00A518C6" w:rsidP="00A518C6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 производства и путях его развития;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611D64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Pr="00611D64">
        <w:rPr>
          <w:rStyle w:val="FontStyle16"/>
          <w:b w:val="0"/>
          <w:sz w:val="24"/>
          <w:szCs w:val="24"/>
        </w:rPr>
        <w:t>базовую часть бл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ние и грохочение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хотов и область их применения, технология дробления, измельчения и грохочения;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вспомогательные процессы: обезвоживание, пылеулавливание, 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жение, хвостовое хозяйство;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D86DC2" w:rsidRPr="00AF2BB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дипломного проекта.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C640B4" w:rsidRPr="00D86DC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D86DC2" w:rsidRPr="00D86DC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 w:rsidR="00D86DC2">
              <w:rPr>
                <w:i/>
              </w:rPr>
              <w:t>процессов обог</w:t>
            </w:r>
            <w:r w:rsidR="00D86DC2">
              <w:rPr>
                <w:i/>
              </w:rPr>
              <w:t>а</w:t>
            </w:r>
            <w:r w:rsidR="00D86DC2"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аргументированно обосновывать положения </w:t>
            </w:r>
            <w:r w:rsidRPr="00D86DC2">
              <w:rPr>
                <w:i/>
                <w:sz w:val="24"/>
                <w:szCs w:val="24"/>
              </w:rPr>
              <w:lastRenderedPageBreak/>
              <w:t>предметной области знания.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 w:rsidR="00733DC4"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 w:rsidR="00716155">
              <w:rPr>
                <w:i/>
              </w:rPr>
              <w:t>предд</w:t>
            </w:r>
            <w:r w:rsidR="00716155">
              <w:rPr>
                <w:i/>
              </w:rPr>
              <w:t>и</w:t>
            </w:r>
            <w:r w:rsidR="00716155">
              <w:rPr>
                <w:i/>
              </w:rPr>
              <w:t xml:space="preserve">пломной </w:t>
            </w:r>
            <w:r w:rsidRPr="00D86DC2">
              <w:rPr>
                <w:i/>
              </w:rPr>
              <w:t>практике;</w:t>
            </w:r>
          </w:p>
          <w:p w:rsidR="00C640B4" w:rsidRPr="00D86DC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733DC4" w:rsidP="00733DC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716155"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="00716155"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</w:t>
            </w:r>
            <w:r w:rsidRPr="00733DC4">
              <w:rPr>
                <w:b/>
                <w:bCs/>
              </w:rPr>
              <w:t>н</w:t>
            </w:r>
            <w:r w:rsidRPr="00733DC4">
              <w:rPr>
                <w:b/>
                <w:bCs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</w:t>
            </w:r>
            <w:r w:rsidRPr="00716155">
              <w:rPr>
                <w:i/>
              </w:rPr>
              <w:t>и</w:t>
            </w:r>
            <w:r w:rsidRPr="00716155">
              <w:rPr>
                <w:i/>
              </w:rPr>
              <w:t>ческих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33DC4" w:rsidP="00733DC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733DC4">
              <w:rPr>
                <w:b/>
                <w:bCs/>
              </w:rPr>
              <w:t>о</w:t>
            </w:r>
            <w:r w:rsidRPr="00733DC4">
              <w:rPr>
                <w:b/>
                <w:bCs/>
              </w:rPr>
              <w:t>нальному и комплексному освоению георесурсного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716155" w:rsidRPr="00D86DC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C640B4" w:rsidRPr="00D86DC2" w:rsidRDefault="00716155" w:rsidP="00733DC4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="00733DC4">
              <w:rPr>
                <w:i/>
              </w:rPr>
              <w:t>технологическую минералогию, геологию, технологию обогащения ра</w:t>
            </w:r>
            <w:r w:rsidR="00733DC4">
              <w:rPr>
                <w:i/>
              </w:rPr>
              <w:t>з</w:t>
            </w:r>
            <w:r w:rsidR="00733DC4">
              <w:rPr>
                <w:i/>
              </w:rPr>
              <w:t>личных видов минерального и техногенного сырья</w:t>
            </w:r>
            <w:r>
              <w:rPr>
                <w:i/>
              </w:rPr>
              <w:t>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 w:rsidR="00733DC4"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716155" w:rsidP="00716155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716155" w:rsidRDefault="00716155" w:rsidP="00716155">
            <w:pPr>
              <w:ind w:firstLine="0"/>
              <w:jc w:val="left"/>
            </w:pPr>
          </w:p>
          <w:p w:rsidR="00A518C6" w:rsidRPr="00D86DC2" w:rsidRDefault="00A518C6" w:rsidP="00716155">
            <w:pPr>
              <w:ind w:firstLine="0"/>
              <w:jc w:val="left"/>
            </w:pP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716155" w:rsidRDefault="00716155" w:rsidP="00733DC4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 w:rsidR="00733D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165A02" w:rsidRPr="002646A7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</w:t>
            </w:r>
            <w:r>
              <w:rPr>
                <w:i/>
              </w:rPr>
              <w:t>а</w:t>
            </w:r>
            <w:r>
              <w:rPr>
                <w:i/>
              </w:rPr>
              <w:t>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добыче, переработке поле</w:t>
            </w:r>
            <w:r w:rsidRPr="00165A02">
              <w:rPr>
                <w:b/>
                <w:bCs/>
              </w:rPr>
              <w:t>з</w:t>
            </w:r>
            <w:r w:rsidRPr="00165A02">
              <w:rPr>
                <w:b/>
                <w:bCs/>
              </w:rPr>
              <w:t>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</w:t>
            </w:r>
            <w:r>
              <w:rPr>
                <w:i/>
              </w:rPr>
              <w:t>а</w:t>
            </w:r>
            <w:r>
              <w:rPr>
                <w:i/>
              </w:rPr>
              <w:t>ботки полезных ископаемых и проектирования обогатительных фабрик;</w:t>
            </w:r>
          </w:p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</w:t>
            </w:r>
            <w:r w:rsidR="00EB61F7">
              <w:rPr>
                <w:i/>
              </w:rPr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EB61F7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</w:t>
            </w:r>
            <w:r>
              <w:rPr>
                <w:i/>
              </w:rPr>
              <w:t>а</w:t>
            </w:r>
            <w:r>
              <w:rPr>
                <w:i/>
              </w:rPr>
              <w:t>тительных фабрик и установок;</w:t>
            </w:r>
          </w:p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EB61F7" w:rsidRP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65A02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EB61F7" w:rsidRDefault="00EB61F7" w:rsidP="00EB61F7">
            <w:pPr>
              <w:ind w:firstLine="0"/>
              <w:jc w:val="left"/>
              <w:rPr>
                <w:b/>
                <w:bCs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EB61F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EB61F7" w:rsidRPr="00D86DC2" w:rsidRDefault="00EB61F7" w:rsidP="00EB61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EB61F7" w:rsidRDefault="0059451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594517" w:rsidRPr="00D86DC2" w:rsidRDefault="00594517" w:rsidP="0059451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EB61F7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594517">
            <w:pPr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</w:t>
            </w:r>
            <w:r w:rsidRPr="00594517">
              <w:rPr>
                <w:b/>
                <w:bCs/>
              </w:rPr>
              <w:t>с</w:t>
            </w:r>
            <w:r w:rsidRPr="00594517">
              <w:rPr>
                <w:b/>
                <w:bCs/>
              </w:rPr>
              <w:t>пытаний оборудования и технологий при эксплуатационной разведке, добыче, пер</w:t>
            </w:r>
            <w:r w:rsidRPr="00594517">
              <w:rPr>
                <w:b/>
                <w:bCs/>
              </w:rPr>
              <w:t>е</w:t>
            </w:r>
            <w:r w:rsidRPr="00594517">
              <w:rPr>
                <w:b/>
                <w:bCs/>
              </w:rPr>
              <w:t>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</w:t>
            </w:r>
            <w:r>
              <w:rPr>
                <w:i/>
              </w:rPr>
              <w:t>с</w:t>
            </w:r>
            <w:r>
              <w:rPr>
                <w:i/>
              </w:rPr>
              <w:t>пытаний при разработке технологии обогащения и проектировании фа</w:t>
            </w:r>
            <w:r>
              <w:rPr>
                <w:i/>
              </w:rPr>
              <w:t>б</w:t>
            </w:r>
            <w:r>
              <w:rPr>
                <w:i/>
              </w:rPr>
              <w:t>рик;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</w:t>
            </w:r>
            <w:r>
              <w:rPr>
                <w:i/>
              </w:rPr>
              <w:t>о</w:t>
            </w:r>
            <w:r>
              <w:rPr>
                <w:i/>
              </w:rPr>
              <w:t>гии, технологии обогащения различных видов минерального и техногенн</w:t>
            </w:r>
            <w:r>
              <w:rPr>
                <w:i/>
              </w:rPr>
              <w:t>о</w:t>
            </w:r>
            <w:r>
              <w:rPr>
                <w:i/>
              </w:rPr>
              <w:t>го сырья для оценки результатов исследовательских и опытно-промышленных работ.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ископаемых на обогатимость;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F71FE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5C5F1A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="008F7CA1" w:rsidRPr="008F7CA1">
              <w:rPr>
                <w:b/>
                <w:bCs/>
              </w:rPr>
              <w:t>а</w:t>
            </w:r>
            <w:r w:rsidR="008F7CA1" w:rsidRPr="008F7CA1">
              <w:rPr>
                <w:b/>
                <w:bCs/>
              </w:rPr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</w:t>
            </w:r>
            <w:r w:rsidR="008F7CA1" w:rsidRPr="008F7CA1">
              <w:rPr>
                <w:b/>
                <w:bCs/>
              </w:rPr>
              <w:t>о</w:t>
            </w:r>
            <w:r w:rsidR="008F7CA1"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lastRenderedPageBreak/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D86DC2" w:rsidRDefault="002646A7" w:rsidP="002646A7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8F7CA1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2646A7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2646A7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lastRenderedPageBreak/>
              <w:t>ской безопасности.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D86DC2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8D6B80" w:rsidRPr="00D86DC2" w:rsidRDefault="008D6B80" w:rsidP="008D6B8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8D6B80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D6B80">
        <w:rPr>
          <w:rStyle w:val="FontStyle18"/>
          <w:b w:val="0"/>
          <w:sz w:val="24"/>
          <w:szCs w:val="24"/>
        </w:rPr>
        <w:t>1</w:t>
      </w:r>
      <w:r w:rsidR="001F71FE">
        <w:rPr>
          <w:rStyle w:val="FontStyle18"/>
          <w:b w:val="0"/>
          <w:sz w:val="24"/>
          <w:szCs w:val="24"/>
        </w:rPr>
        <w:t>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F71FE">
        <w:rPr>
          <w:rStyle w:val="FontStyle18"/>
          <w:b w:val="0"/>
          <w:sz w:val="24"/>
          <w:szCs w:val="24"/>
        </w:rPr>
        <w:t>110,8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F71FE">
        <w:rPr>
          <w:rStyle w:val="FontStyle18"/>
          <w:b w:val="0"/>
          <w:sz w:val="24"/>
          <w:szCs w:val="24"/>
        </w:rPr>
        <w:t>108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F71FE">
        <w:rPr>
          <w:rStyle w:val="FontStyle18"/>
          <w:b w:val="0"/>
          <w:sz w:val="24"/>
          <w:szCs w:val="24"/>
        </w:rPr>
        <w:t>2,8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1F71FE">
        <w:rPr>
          <w:rStyle w:val="FontStyle18"/>
          <w:b w:val="0"/>
          <w:sz w:val="24"/>
          <w:szCs w:val="24"/>
        </w:rPr>
        <w:t>69,2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D6B80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6B8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гатительных фабрик.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3B3F7B">
            <w:pPr>
              <w:pStyle w:val="Style14"/>
              <w:widowControl/>
              <w:ind w:firstLine="0"/>
              <w:jc w:val="left"/>
            </w:pPr>
            <w:r>
              <w:t xml:space="preserve">ОК 1; </w:t>
            </w:r>
            <w:r w:rsidR="00A208F0">
              <w:t xml:space="preserve">ОПК </w:t>
            </w:r>
            <w:r>
              <w:t>1</w:t>
            </w:r>
            <w:r w:rsidR="00A208F0">
              <w:t xml:space="preserve">; </w:t>
            </w:r>
            <w:r>
              <w:t xml:space="preserve">ОПК 4; </w:t>
            </w:r>
            <w:r w:rsidR="00A208F0">
              <w:t xml:space="preserve">ПК </w:t>
            </w:r>
            <w:r>
              <w:t>3</w:t>
            </w:r>
            <w:r w:rsidR="00A208F0">
              <w:t xml:space="preserve">; ПК </w:t>
            </w:r>
            <w:r>
              <w:t>4</w:t>
            </w:r>
            <w:r w:rsidR="00A208F0">
              <w:t xml:space="preserve">; </w:t>
            </w:r>
            <w:r>
              <w:t xml:space="preserve">ПК 10; ПК 15; ПК 17; </w:t>
            </w:r>
            <w:r w:rsidR="00A208F0">
              <w:t>ПСК 6.</w:t>
            </w:r>
            <w:r>
              <w:t>3</w:t>
            </w:r>
            <w:r w:rsidR="00A208F0">
              <w:t xml:space="preserve"> - 6.6. зув.</w:t>
            </w:r>
          </w:p>
        </w:tc>
      </w:tr>
      <w:tr w:rsidR="009D290F" w:rsidRPr="008D6B80" w:rsidTr="008D6B80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r>
              <w:rPr>
                <w:color w:val="000000"/>
              </w:rPr>
              <w:t>Предпроектные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Порядок выполнения проектных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FC4496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ментации.</w:t>
            </w:r>
          </w:p>
        </w:tc>
        <w:tc>
          <w:tcPr>
            <w:tcW w:w="186" w:type="pct"/>
          </w:tcPr>
          <w:p w:rsidR="009D290F" w:rsidRPr="008D6B80" w:rsidRDefault="009D290F" w:rsidP="005D285C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D290F" w:rsidRPr="00011F09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D6B80">
        <w:trPr>
          <w:trHeight w:val="393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Рудоподготовка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9D290F" w:rsidRPr="00AF1A1A" w:rsidRDefault="001F71FE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2" w:type="pct"/>
          </w:tcPr>
          <w:p w:rsidR="009D290F" w:rsidRPr="00AF1A1A" w:rsidRDefault="003B3F7B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</w:t>
            </w:r>
            <w:r>
              <w:lastRenderedPageBreak/>
              <w:t>ПК 3; ПК 4; ПК 10; ПК 15; ПК 17; ПСК 6.3 - 6.6. зув.</w:t>
            </w: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>3.1.</w:t>
            </w:r>
            <w:r>
              <w:rPr>
                <w:color w:val="000000"/>
              </w:rPr>
              <w:t xml:space="preserve"> Выбор схемы рудоподготовк</w:t>
            </w:r>
            <w:r w:rsidR="001F71FE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AF1A1A" w:rsidRDefault="003B3F7B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>Расчет схем рудоподготовка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AF1A1A" w:rsidRDefault="009D290F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3F7B"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минерального сырья.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4.2. Схемы обогащения руд черных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lastRenderedPageBreak/>
              <w:t>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lastRenderedPageBreak/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 Схемы обогащения руд цветных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AF1A1A" w:rsidRDefault="001F71FE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9D290F" w:rsidRPr="00AF1A1A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223514" w:rsidRDefault="001F71FE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9D290F" w:rsidRPr="00223514" w:rsidRDefault="003B3F7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584850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20" w:type="pct"/>
          </w:tcPr>
          <w:p w:rsidR="009D290F" w:rsidRPr="00584850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9D290F" w:rsidRPr="00584850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332" w:type="pct"/>
          </w:tcPr>
          <w:p w:rsidR="009D290F" w:rsidRPr="009D290F" w:rsidRDefault="003B3F7B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</w:t>
            </w:r>
          </w:p>
        </w:tc>
        <w:tc>
          <w:tcPr>
            <w:tcW w:w="107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9D29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9D290F" w:rsidRPr="009D290F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20" w:type="pct"/>
            <w:shd w:val="clear" w:color="auto" w:fill="auto"/>
          </w:tcPr>
          <w:p w:rsidR="009D290F" w:rsidRPr="009D290F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9D290F" w:rsidRPr="009D290F" w:rsidRDefault="001F71FE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332" w:type="pct"/>
            <w:shd w:val="clear" w:color="auto" w:fill="auto"/>
          </w:tcPr>
          <w:p w:rsidR="009D290F" w:rsidRPr="008D6B80" w:rsidRDefault="003B3F7B" w:rsidP="009D29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  <w:tc>
          <w:tcPr>
            <w:tcW w:w="1075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D290F" w:rsidRPr="008D6B80" w:rsidRDefault="00A518C6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преподавателя и студента для достижения оптимальных результатов. 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воспроизводительность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3F0535" w:rsidRPr="00FD31FB" w:rsidRDefault="003F0535" w:rsidP="003F0535">
      <w:pPr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 рабочей программе для реализации компетентностного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C13928" w:rsidRPr="003F0535" w:rsidRDefault="00C13928" w:rsidP="00A72A9A">
      <w:pPr>
        <w:rPr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Содержание и выполнение предпроектной работы.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Проектно-компоновочные решения цехов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Проектно-компоновочные решения главных корпусов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Принципы проектирования генерального плана.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Состав и структура обогатительной фабрики.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Основы промсанитарии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8D4E6F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Назначение операции предварительного грохочения.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стадиальных схемах обогащения.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предконцентрация ценного компанента?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Какими исходными данными задаются при расчете качественно-количественной схемы?</w:t>
      </w:r>
    </w:p>
    <w:p w:rsidR="0079022C" w:rsidRP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Цель расчета водно-шламовой схмы.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6558A" w:rsidRDefault="0023330D" w:rsidP="00197B54">
      <w:pPr>
        <w:rPr>
          <w:b/>
        </w:rPr>
      </w:pPr>
      <w:r w:rsidRPr="0036558A">
        <w:rPr>
          <w:b/>
        </w:rPr>
        <w:t>а) Планируемые результаты обучения и оценочные средства для пров</w:t>
      </w:r>
      <w:r w:rsidR="006848DA" w:rsidRPr="0036558A">
        <w:rPr>
          <w:b/>
        </w:rPr>
        <w:t>едения промежуточной аттестации</w:t>
      </w:r>
      <w:r w:rsidR="00321DD2" w:rsidRPr="0036558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36558A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</w:t>
            </w:r>
            <w:r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 xml:space="preserve">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</w:t>
            </w:r>
            <w:r w:rsidRPr="00733DC4">
              <w:rPr>
                <w:b/>
                <w:bCs/>
              </w:rPr>
              <w:t>е</w:t>
            </w:r>
            <w:r w:rsidRPr="00733DC4">
              <w:rPr>
                <w:b/>
                <w:bCs/>
              </w:rP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ности;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EB23E8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сов и компоновке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Default="00944419" w:rsidP="00A518C6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и умений путем использ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вания возможностей информационной ср</w:t>
            </w:r>
            <w:r w:rsidRPr="00D86DC2">
              <w:rPr>
                <w:i/>
              </w:rPr>
              <w:t>е</w:t>
            </w:r>
            <w:r w:rsidRPr="00D86DC2">
              <w:rPr>
                <w:i/>
              </w:rPr>
              <w:t>ды.</w:t>
            </w: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Pr="00D86DC2" w:rsidRDefault="00477AB0" w:rsidP="00A518C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733DC4">
              <w:rPr>
                <w:b/>
                <w:bCs/>
              </w:rPr>
              <w:t>с</w:t>
            </w:r>
            <w:r w:rsidRPr="00733DC4">
              <w:rPr>
                <w:b/>
                <w:bCs/>
              </w:rPr>
              <w:t>воению георесурсного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ind w:firstLine="0"/>
              <w:jc w:val="left"/>
            </w:pPr>
            <w:r>
              <w:rPr>
                <w:i/>
              </w:rPr>
              <w:t>- технологическую минералогию, геологию, технологию обогащения различных видов минерального и техногенного сырья.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A518C6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</w:t>
            </w:r>
            <w:r w:rsidRPr="00D86DC2">
              <w:rPr>
                <w:i/>
              </w:rPr>
              <w:t>б</w:t>
            </w:r>
            <w:r w:rsidRPr="00D86DC2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технологической минерал</w:t>
            </w:r>
            <w:r>
              <w:rPr>
                <w:i/>
              </w:rPr>
              <w:t>о</w:t>
            </w:r>
            <w:r>
              <w:rPr>
                <w:i/>
              </w:rPr>
              <w:t>гии и технологии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</w:t>
            </w:r>
            <w:r w:rsidRPr="00D86DC2">
              <w:rPr>
                <w:i/>
              </w:rPr>
              <w:t xml:space="preserve"> на других дисциплинах, на зан</w:t>
            </w:r>
            <w:r w:rsidRPr="00D86DC2">
              <w:rPr>
                <w:i/>
              </w:rPr>
              <w:t>я</w:t>
            </w:r>
            <w:r w:rsidRPr="00D86DC2">
              <w:rPr>
                <w:i/>
              </w:rPr>
              <w:t xml:space="preserve">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477AB0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путем использования во</w:t>
            </w:r>
            <w:r w:rsidRPr="00D86DC2">
              <w:rPr>
                <w:i/>
              </w:rPr>
              <w:t>з</w:t>
            </w:r>
            <w:r w:rsidRPr="00D86DC2">
              <w:rPr>
                <w:i/>
              </w:rPr>
              <w:t>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выми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165A02">
              <w:rPr>
                <w:b/>
                <w:bCs/>
              </w:rPr>
              <w:t>ъ</w:t>
            </w:r>
            <w:r w:rsidRPr="00165A02">
              <w:rPr>
                <w:b/>
                <w:bCs/>
              </w:rPr>
              <w:t>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</w:t>
            </w:r>
            <w:r>
              <w:rPr>
                <w:i/>
              </w:rPr>
              <w:t>ь</w:t>
            </w:r>
            <w:r>
              <w:rPr>
                <w:i/>
              </w:rPr>
              <w:t>ными процессами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A518C6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</w:t>
            </w:r>
            <w:r w:rsidRPr="00165A02">
              <w:rPr>
                <w:b/>
                <w:bCs/>
              </w:rPr>
              <w:t>о</w:t>
            </w:r>
            <w:r w:rsidRPr="00165A02">
              <w:rPr>
                <w:b/>
                <w:bCs/>
              </w:rPr>
              <w:t>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</w:t>
            </w:r>
            <w:r>
              <w:rPr>
                <w:i/>
              </w:rPr>
              <w:t>а</w:t>
            </w:r>
            <w:r>
              <w:rPr>
                <w:i/>
              </w:rPr>
              <w:t>тивные акты в области переработки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проектирования об</w:t>
            </w:r>
            <w:r>
              <w:rPr>
                <w:i/>
              </w:rPr>
              <w:t>о</w:t>
            </w:r>
            <w:r>
              <w:rPr>
                <w:i/>
              </w:rPr>
              <w:t>гатительных фабрик;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 для горно-обогатительных предприятий.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</w:t>
            </w:r>
            <w:r>
              <w:rPr>
                <w:i/>
              </w:rPr>
              <w:t>б</w:t>
            </w:r>
            <w:r>
              <w:rPr>
                <w:i/>
              </w:rPr>
              <w:t>рик и установок;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EB61F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</w:t>
            </w:r>
            <w:r w:rsidRPr="00EB61F7">
              <w:rPr>
                <w:b/>
                <w:bCs/>
              </w:rPr>
              <w:t>р</w:t>
            </w:r>
            <w:r w:rsidRPr="00EB61F7">
              <w:rPr>
                <w:b/>
                <w:bCs/>
              </w:rPr>
              <w:t>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</w:t>
            </w:r>
            <w:r>
              <w:rPr>
                <w:i/>
              </w:rPr>
              <w:t>е</w:t>
            </w:r>
            <w:r>
              <w:rPr>
                <w:i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A518C6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корректно выражать и аргументир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ванно обосновывать положения предме</w:t>
            </w:r>
            <w:r w:rsidRPr="00D86DC2">
              <w:rPr>
                <w:i/>
              </w:rPr>
              <w:t>т</w:t>
            </w:r>
            <w:r w:rsidRPr="00D86DC2">
              <w:rPr>
                <w:i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Default="00477AB0" w:rsidP="00477AB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>
              <w:rPr>
                <w:i/>
              </w:rPr>
              <w:t xml:space="preserve">сиональных знаний </w:t>
            </w:r>
            <w:r w:rsidRPr="00D86DC2">
              <w:rPr>
                <w:i/>
              </w:rPr>
              <w:t>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594517">
              <w:rPr>
                <w:b/>
                <w:bCs/>
              </w:rPr>
              <w:t>н</w:t>
            </w:r>
            <w:r w:rsidRPr="00594517">
              <w:rPr>
                <w:b/>
                <w:bCs/>
              </w:rPr>
              <w:t>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</w:t>
            </w:r>
            <w:r>
              <w:rPr>
                <w:i/>
              </w:rPr>
              <w:t>о</w:t>
            </w:r>
            <w:r>
              <w:rPr>
                <w:i/>
              </w:rPr>
              <w:t>ектировании фабрик;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логической минералогии, геологии,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гии обогащения различных видов минерал</w:t>
            </w:r>
            <w:r>
              <w:rPr>
                <w:i/>
              </w:rPr>
              <w:t>ь</w:t>
            </w:r>
            <w:r>
              <w:rPr>
                <w:i/>
              </w:rPr>
              <w:t>ного и техногенного сырья для оценки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 исследовательских и опытно-промышленных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Pr="00D86DC2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>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EB23E8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 xml:space="preserve">профессиональным языком предметной </w:t>
            </w:r>
            <w:r w:rsidRPr="00D86DC2">
              <w:rPr>
                <w:i/>
              </w:rPr>
              <w:lastRenderedPageBreak/>
              <w:t>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lastRenderedPageBreak/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C2925" w:rsidRDefault="0033429F" w:rsidP="0033429F">
      <w:pPr>
        <w:rPr>
          <w:b/>
        </w:rPr>
      </w:pPr>
      <w:r w:rsidRPr="004C292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43590" w:rsidRPr="004C2925" w:rsidRDefault="004C2925" w:rsidP="004C2925">
      <w:pPr>
        <w:rPr>
          <w:i/>
        </w:rPr>
      </w:pPr>
      <w:r>
        <w:t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Подготовка студента к зачету включает самосто</w:t>
      </w:r>
      <w:r>
        <w:t>я</w:t>
      </w:r>
      <w:r>
        <w:t>тельную работу в течении семестра и в дни, предшествующие зачету. Основными исто</w:t>
      </w:r>
      <w:r>
        <w:t>ч</w:t>
      </w:r>
      <w:r>
        <w:t>никами для подготовки к зачету является конспект лекций, а также литература, рекоме</w:t>
      </w:r>
      <w:r>
        <w:t>н</w:t>
      </w:r>
      <w:r>
        <w:t>дованная лектором, результаты практических, лабораторных и семинарских занятий. Це</w:t>
      </w:r>
      <w:r>
        <w:t>н</w:t>
      </w:r>
      <w:r>
        <w:t>ные сведения могут быть получены по Интернету. Важным фактором для успешного п</w:t>
      </w:r>
      <w:r>
        <w:t>о</w:t>
      </w:r>
      <w:r>
        <w:t>лучения зачета является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34629A" w:rsidRPr="004C2925" w:rsidRDefault="00143590" w:rsidP="0034629A">
      <w:pPr>
        <w:rPr>
          <w:b/>
          <w:i/>
        </w:rPr>
      </w:pPr>
      <w:r w:rsidRPr="004C2925">
        <w:rPr>
          <w:b/>
          <w:i/>
        </w:rPr>
        <w:t>Показатели и критерии оценивания</w:t>
      </w:r>
      <w:r w:rsidR="00374491" w:rsidRPr="004C2925">
        <w:rPr>
          <w:b/>
          <w:i/>
        </w:rPr>
        <w:t xml:space="preserve"> </w:t>
      </w:r>
      <w:r w:rsidR="004C2925" w:rsidRPr="004C2925">
        <w:rPr>
          <w:b/>
          <w:i/>
        </w:rPr>
        <w:t>зачета</w:t>
      </w:r>
      <w:r w:rsidRPr="004C2925">
        <w:rPr>
          <w:b/>
          <w:i/>
        </w:rPr>
        <w:t>:</w:t>
      </w:r>
    </w:p>
    <w:p w:rsidR="004C2925" w:rsidRDefault="004C2925" w:rsidP="004C2925">
      <w:pPr>
        <w:tabs>
          <w:tab w:val="left" w:pos="851"/>
        </w:tabs>
      </w:pPr>
      <w:r>
        <w:t>Ответ студента оценивается оценками «зачтено» и «не зачтено».</w:t>
      </w:r>
    </w:p>
    <w:p w:rsidR="004C2925" w:rsidRDefault="004C2925" w:rsidP="004C2925">
      <w:pPr>
        <w:tabs>
          <w:tab w:val="left" w:pos="851"/>
        </w:tabs>
      </w:pPr>
      <w:r>
        <w:t>Оценка «зачтено» выставляется если студент проявил всесторонние и глубокие зн</w:t>
      </w:r>
      <w:r>
        <w:t>а</w:t>
      </w:r>
      <w:r>
        <w:t>ния учебного материала и умение свободно выполнять задания, предусмотренные пр</w:t>
      </w:r>
      <w:r>
        <w:t>о</w:t>
      </w:r>
      <w:r>
        <w:t>граммой, что обеспечит дальнейшую успешную учебу и работу по будущей специальн</w:t>
      </w:r>
      <w:r>
        <w:t>о</w:t>
      </w:r>
      <w:r>
        <w:t>сти.</w:t>
      </w:r>
    </w:p>
    <w:p w:rsidR="004C2925" w:rsidRPr="006C298D" w:rsidRDefault="004C2925" w:rsidP="004C2925">
      <w:pPr>
        <w:tabs>
          <w:tab w:val="left" w:pos="851"/>
        </w:tabs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</w:t>
      </w:r>
      <w:r>
        <w:t>т</w:t>
      </w:r>
      <w:r>
        <w:t>ренных программой заданий. Ответы носят поверхностный, несистематизированный х</w:t>
      </w:r>
      <w:r>
        <w:t>а</w:t>
      </w:r>
      <w:r>
        <w:t>рактер. Студент не понимает сущность излагаемых вопросов и ему нужно дополнительное обучение.</w:t>
      </w:r>
    </w:p>
    <w:p w:rsidR="00803E85" w:rsidRPr="004C2925" w:rsidRDefault="00803E85" w:rsidP="00374491">
      <w:pPr>
        <w:rPr>
          <w:i/>
        </w:rPr>
      </w:pP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8155AE" w:rsidRDefault="008155AE" w:rsidP="008155AE">
      <w:pPr>
        <w:rPr>
          <w:i/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120C0" w:rsidRPr="008120C0" w:rsidRDefault="008120C0" w:rsidP="008120C0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</w:pPr>
      <w:r w:rsidRPr="008120C0">
        <w:t>Думов, А. М. Выбор и расчет технологического обогатительного оборудования для переработки минерального сырья : учебное пособие / А. М. Думов, А. А. Николаев. — Москва : МИСИС, 2020. — 100 с. — ISBN 978-5-907061-99-6. — Текст : электронный // Лань : электронно-библиотечная система. — URL: </w:t>
      </w:r>
      <w:hyperlink r:id="rId17" w:tgtFrame="_blank" w:history="1">
        <w:r w:rsidRPr="008120C0">
          <w:rPr>
            <w:rStyle w:val="af8"/>
          </w:rPr>
          <w:t>https://e.lanbook.com/book/147915</w:t>
        </w:r>
      </w:hyperlink>
      <w:r w:rsidRPr="008120C0">
        <w:t> (дата обращения: 26.10.2020). — Режим доступа: для авториз. пользователей.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 xml:space="preserve">сурс] : учебное пособие / Э.В. Адамов. — Электрон. дан. — Москва :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 / Под ред. Тих</w:t>
      </w:r>
      <w:r>
        <w:t>о</w:t>
      </w:r>
      <w:r>
        <w:t>нова О.Н.- 2-е изд. – М.: Недра, 1988.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 Абрамов, А.А. Технология переработки и обогащения руд цветных металлов. В 2 кн. Т.3. Книга 1. Рудоподготовка и Cu, Cu-Py, Cu-Fe, Mo, Cu-Mo,Cu-Zn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 : учебное пособие / А.А. Абрамов. — Электрон. дан. — Москва :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>дические указания приведены в приложении 1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5757E" w:rsidRPr="002B7CF0" w:rsidTr="0009768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5757E" w:rsidRPr="002B7CF0" w:rsidTr="0009768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A518C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09768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09768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r w:rsidRPr="00591FCD">
          <w:rPr>
            <w:rStyle w:val="af8"/>
            <w:bCs/>
            <w:lang w:val="en-US"/>
          </w:rPr>
          <w:t>geomix</w:t>
        </w:r>
        <w:r w:rsidRPr="00591FCD">
          <w:rPr>
            <w:rStyle w:val="af8"/>
            <w:bCs/>
          </w:rPr>
          <w:t>.</w:t>
        </w:r>
        <w:r w:rsidRPr="00591FCD">
          <w:rPr>
            <w:rStyle w:val="af8"/>
            <w:bCs/>
            <w:lang w:val="en-US"/>
          </w:rPr>
          <w:t>ru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gornoe</w:t>
        </w:r>
        <w:r w:rsidRPr="00591FCD">
          <w:rPr>
            <w:rStyle w:val="af8"/>
            <w:bCs/>
          </w:rPr>
          <w:t>-</w:t>
        </w:r>
        <w:r w:rsidRPr="00591FCD">
          <w:rPr>
            <w:rStyle w:val="af8"/>
            <w:bCs/>
            <w:lang w:val="en-US"/>
          </w:rPr>
          <w:t>delo</w:t>
        </w:r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75757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757E" w:rsidRPr="00AC7DAE" w:rsidTr="00A518C6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574D1" w:rsidRDefault="005574D1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75757E" w:rsidRPr="00CA3088" w:rsidRDefault="0075757E" w:rsidP="0075757E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практических работ</w:t>
      </w:r>
    </w:p>
    <w:p w:rsidR="0075757E" w:rsidRDefault="0075757E" w:rsidP="0075757E">
      <w:pPr>
        <w:rPr>
          <w:bCs/>
        </w:rPr>
      </w:pPr>
      <w:r>
        <w:rPr>
          <w:bCs/>
        </w:rPr>
        <w:t>Практическая р</w:t>
      </w:r>
      <w:r w:rsidRPr="00CA3088">
        <w:rPr>
          <w:bCs/>
        </w:rPr>
        <w:t>абота представляется в виде пояснительной записки демонстрацио</w:t>
      </w:r>
      <w:r w:rsidRPr="00CA3088">
        <w:rPr>
          <w:bCs/>
        </w:rPr>
        <w:t>н</w:t>
      </w:r>
      <w:r w:rsidRPr="00CA3088">
        <w:rPr>
          <w:bCs/>
        </w:rPr>
        <w:t xml:space="preserve">ного материала в виде </w:t>
      </w:r>
      <w:r>
        <w:rPr>
          <w:bCs/>
        </w:rPr>
        <w:t>технологических схем</w:t>
      </w:r>
      <w:r w:rsidRPr="00CA3088">
        <w:rPr>
          <w:bCs/>
        </w:rPr>
        <w:t xml:space="preserve">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lastRenderedPageBreak/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подготовить доклад и ответить на вопросы </w:t>
      </w:r>
      <w:r>
        <w:rPr>
          <w:bCs/>
        </w:rPr>
        <w:t>преподавателя.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BC" w:rsidRDefault="00A742BC">
      <w:r>
        <w:separator/>
      </w:r>
    </w:p>
  </w:endnote>
  <w:endnote w:type="continuationSeparator" w:id="1">
    <w:p w:rsidR="00A742BC" w:rsidRDefault="00A7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C6" w:rsidRDefault="008357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518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18C6" w:rsidRDefault="00A518C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C6" w:rsidRDefault="008357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518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7682">
      <w:rPr>
        <w:rStyle w:val="a4"/>
        <w:noProof/>
      </w:rPr>
      <w:t>31</w:t>
    </w:r>
    <w:r>
      <w:rPr>
        <w:rStyle w:val="a4"/>
      </w:rPr>
      <w:fldChar w:fldCharType="end"/>
    </w:r>
  </w:p>
  <w:p w:rsidR="00A518C6" w:rsidRDefault="00A518C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BC" w:rsidRDefault="00A742BC">
      <w:r>
        <w:separator/>
      </w:r>
    </w:p>
  </w:footnote>
  <w:footnote w:type="continuationSeparator" w:id="1">
    <w:p w:rsidR="00A742BC" w:rsidRDefault="00A74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F2B"/>
    <w:multiLevelType w:val="multilevel"/>
    <w:tmpl w:val="DD4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8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9"/>
  </w:num>
  <w:num w:numId="15">
    <w:abstractNumId w:val="13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 w:numId="29">
    <w:abstractNumId w:val="0"/>
  </w:num>
  <w:num w:numId="30">
    <w:abstractNumId w:val="28"/>
  </w:num>
  <w:num w:numId="31">
    <w:abstractNumId w:val="2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3F8E"/>
    <w:rsid w:val="00094253"/>
    <w:rsid w:val="000946CF"/>
    <w:rsid w:val="00096109"/>
    <w:rsid w:val="00097682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70C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840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0C44"/>
    <w:rsid w:val="00321DD2"/>
    <w:rsid w:val="0032470F"/>
    <w:rsid w:val="003267AD"/>
    <w:rsid w:val="00326AAC"/>
    <w:rsid w:val="0033151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46E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E1422"/>
    <w:rsid w:val="004E1657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C7849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162A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8CA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584E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6A35"/>
    <w:rsid w:val="007F703F"/>
    <w:rsid w:val="007F7A6A"/>
    <w:rsid w:val="00803E85"/>
    <w:rsid w:val="00806CC2"/>
    <w:rsid w:val="008120C0"/>
    <w:rsid w:val="00814B59"/>
    <w:rsid w:val="008155AE"/>
    <w:rsid w:val="00815833"/>
    <w:rsid w:val="008177F1"/>
    <w:rsid w:val="00820310"/>
    <w:rsid w:val="00825B44"/>
    <w:rsid w:val="00827CFA"/>
    <w:rsid w:val="00831197"/>
    <w:rsid w:val="00834280"/>
    <w:rsid w:val="00835104"/>
    <w:rsid w:val="00835761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D3D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18C6"/>
    <w:rsid w:val="00A5411E"/>
    <w:rsid w:val="00A5741F"/>
    <w:rsid w:val="00A6022C"/>
    <w:rsid w:val="00A61031"/>
    <w:rsid w:val="00A62CDC"/>
    <w:rsid w:val="00A6402C"/>
    <w:rsid w:val="00A7014B"/>
    <w:rsid w:val="00A72A9A"/>
    <w:rsid w:val="00A742BC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E6B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B96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4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43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D6BEBE-DCCA-4946-8BC8-4AF4C35C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6397</Words>
  <Characters>36467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42779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4</cp:revision>
  <cp:lastPrinted>2018-05-21T06:19:00Z</cp:lastPrinted>
  <dcterms:created xsi:type="dcterms:W3CDTF">2020-10-31T07:54:00Z</dcterms:created>
  <dcterms:modified xsi:type="dcterms:W3CDTF">2020-11-02T10:49:00Z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