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E36CAD" w:rsidP="00BE665C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09005" cy="89655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9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lastRenderedPageBreak/>
        <w:drawing>
          <wp:inline distT="0" distB="0" distL="0" distR="0">
            <wp:extent cx="5795010" cy="805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791571">
      <w:pPr>
        <w:pStyle w:val="2"/>
      </w:pPr>
      <w:r w:rsidRPr="004A01A5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DA0C522" wp14:editId="4BB79CF7">
            <wp:extent cx="5940425" cy="8414385"/>
            <wp:effectExtent l="0" t="0" r="3175" b="5715"/>
            <wp:docPr id="5" name="Рисунок 5" descr="page1image127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7214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BE665C" w:rsidP="00791571">
      <w:pPr>
        <w:pStyle w:val="2"/>
      </w:pPr>
    </w:p>
    <w:p w:rsidR="0065179F" w:rsidRPr="00791571" w:rsidRDefault="00050517" w:rsidP="00791571">
      <w:pPr>
        <w:pStyle w:val="2"/>
      </w:pPr>
      <w:r w:rsidRPr="00F76695"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 xml:space="preserve">особенностях строения, происхождения и </w:t>
      </w:r>
      <w:proofErr w:type="gramStart"/>
      <w:r w:rsidR="00886229">
        <w:rPr>
          <w:szCs w:val="20"/>
        </w:rPr>
        <w:t>структурных особенностях</w:t>
      </w:r>
      <w:proofErr w:type="gramEnd"/>
      <w:r w:rsidR="00886229">
        <w:rPr>
          <w:szCs w:val="20"/>
        </w:rPr>
        <w:t xml:space="preserve">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</w:t>
      </w:r>
      <w:proofErr w:type="spellStart"/>
      <w:r w:rsidR="00886229">
        <w:rPr>
          <w:szCs w:val="20"/>
        </w:rPr>
        <w:t>геотехнологии</w:t>
      </w:r>
      <w:proofErr w:type="spellEnd"/>
      <w:r w:rsidR="00886229">
        <w:rPr>
          <w:szCs w:val="20"/>
        </w:rPr>
        <w:t xml:space="preserve">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</w:t>
      </w:r>
      <w:proofErr w:type="spellStart"/>
      <w:r w:rsidRPr="00857A6A">
        <w:rPr>
          <w:szCs w:val="20"/>
        </w:rPr>
        <w:t>сдвижений</w:t>
      </w:r>
      <w:proofErr w:type="spellEnd"/>
      <w:r w:rsidRPr="00857A6A">
        <w:rPr>
          <w:szCs w:val="20"/>
        </w:rPr>
        <w:t>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lastRenderedPageBreak/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</w:t>
      </w:r>
      <w:proofErr w:type="spellStart"/>
      <w:r w:rsidR="00CB0E74">
        <w:rPr>
          <w:color w:val="000000"/>
        </w:rPr>
        <w:t>геомеханическими</w:t>
      </w:r>
      <w:proofErr w:type="spellEnd"/>
      <w:r w:rsidR="00CB0E74">
        <w:rPr>
          <w:color w:val="000000"/>
        </w:rPr>
        <w:t xml:space="preserve">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</w:t>
      </w:r>
      <w:proofErr w:type="gramStart"/>
      <w:r>
        <w:t xml:space="preserve">производственной </w:t>
      </w:r>
      <w:r w:rsidR="00886229">
        <w:t xml:space="preserve">преддипломной </w:t>
      </w:r>
      <w:r>
        <w:t>практики</w:t>
      </w:r>
      <w:proofErr w:type="gramEnd"/>
      <w:r>
        <w:t xml:space="preserve">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</w:t>
      </w:r>
      <w:proofErr w:type="spellStart"/>
      <w:r w:rsidRPr="003E7546">
        <w:rPr>
          <w:rFonts w:eastAsia="Calibri"/>
          <w:lang w:eastAsia="en-US"/>
        </w:rPr>
        <w:t>Бурибайский</w:t>
      </w:r>
      <w:proofErr w:type="spellEnd"/>
      <w:r w:rsidRPr="003E7546">
        <w:rPr>
          <w:rFonts w:eastAsia="Calibri"/>
          <w:lang w:eastAsia="en-US"/>
        </w:rPr>
        <w:t xml:space="preserve">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ОАО «</w:t>
      </w:r>
      <w:proofErr w:type="spellStart"/>
      <w:r w:rsidRPr="003E7546">
        <w:rPr>
          <w:rFonts w:eastAsia="Calibri"/>
          <w:lang w:eastAsia="en-US"/>
        </w:rPr>
        <w:t>Южуралзолото</w:t>
      </w:r>
      <w:proofErr w:type="spellEnd"/>
      <w:r w:rsidRPr="003E7546">
        <w:rPr>
          <w:rFonts w:eastAsia="Calibri"/>
          <w:lang w:eastAsia="en-US"/>
        </w:rPr>
        <w:t xml:space="preserve">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</w:t>
      </w:r>
      <w:proofErr w:type="spellStart"/>
      <w:r w:rsidRPr="00EE0759">
        <w:rPr>
          <w:rFonts w:eastAsia="Calibri"/>
          <w:lang w:eastAsia="en-US"/>
        </w:rPr>
        <w:t>Александринская</w:t>
      </w:r>
      <w:proofErr w:type="spellEnd"/>
      <w:r w:rsidRPr="00EE0759">
        <w:rPr>
          <w:rFonts w:eastAsia="Calibri"/>
          <w:lang w:eastAsia="en-US"/>
        </w:rPr>
        <w:t xml:space="preserve">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</w:t>
      </w:r>
      <w:proofErr w:type="gramStart"/>
      <w:r>
        <w:t xml:space="preserve">преддипломная </w:t>
      </w:r>
      <w:r w:rsidR="008B5B30" w:rsidRPr="008B5B30">
        <w:t xml:space="preserve"> </w:t>
      </w:r>
      <w:r w:rsidR="00C46C9B">
        <w:t>практика</w:t>
      </w:r>
      <w:proofErr w:type="gramEnd"/>
      <w:r w:rsidR="00C46C9B">
        <w:t xml:space="preserve">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 xml:space="preserve">Способами и методами производственного менеджмента с учетом </w:t>
            </w:r>
            <w:r w:rsidRPr="00773BAA">
              <w:rPr>
                <w:sz w:val="24"/>
                <w:szCs w:val="24"/>
              </w:rPr>
              <w:lastRenderedPageBreak/>
              <w:t>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 xml:space="preserve">Осуществлять планирование научно-исследовательской работы, </w:t>
            </w:r>
            <w:r w:rsidRPr="00773BAA">
              <w:rPr>
                <w:bCs/>
              </w:rPr>
              <w:lastRenderedPageBreak/>
              <w:t>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</w:t>
            </w:r>
            <w:r w:rsidRPr="00773BAA">
              <w:lastRenderedPageBreak/>
              <w:t>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Периоды планирование развития горных работ и их особенности ,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Анализировать  и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</w:t>
      </w:r>
      <w:proofErr w:type="gramStart"/>
      <w:r w:rsidR="006C4613">
        <w:t xml:space="preserve">преддипломной </w:t>
      </w:r>
      <w:r w:rsidR="000039EC" w:rsidRPr="000039EC">
        <w:t xml:space="preserve"> </w:t>
      </w:r>
      <w:r w:rsidR="003946EB">
        <w:t>практики</w:t>
      </w:r>
      <w:proofErr w:type="gramEnd"/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416A8">
        <w:t>4,9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416A8">
        <w:t>1</w:t>
      </w:r>
      <w:bookmarkStart w:id="0" w:name="_GoBack"/>
      <w:bookmarkEnd w:id="0"/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proofErr w:type="spellStart"/>
            <w:r w:rsidR="004C7DB9" w:rsidRPr="0020627E">
              <w:t>ФНиП</w:t>
            </w:r>
            <w:proofErr w:type="spellEnd"/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 xml:space="preserve">.1. Геологическое строение месторождения (стратиграфия, литология, тектоника, гидрогеология, </w:t>
            </w:r>
            <w:proofErr w:type="spellStart"/>
            <w:r w:rsidRPr="00B272BC">
              <w:t>разведанность</w:t>
            </w:r>
            <w:proofErr w:type="spellEnd"/>
            <w:r w:rsidRPr="00B272BC">
              <w:t xml:space="preserve">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 xml:space="preserve">Горная часть (графическая часть: план </w:t>
            </w:r>
            <w:proofErr w:type="spellStart"/>
            <w:r w:rsidRPr="00B272BC">
              <w:t>промплощадки</w:t>
            </w:r>
            <w:proofErr w:type="spellEnd"/>
            <w:r w:rsidRPr="00B272BC">
      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</w:t>
            </w:r>
            <w:r w:rsidRPr="00B272BC">
              <w:lastRenderedPageBreak/>
              <w:t>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.8. Технико-экономические 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lastRenderedPageBreak/>
              <w:t>4</w:t>
            </w:r>
            <w:r w:rsidRPr="00C60069">
              <w:t>.</w:t>
            </w:r>
            <w:proofErr w:type="gramStart"/>
            <w:r w:rsidRPr="00C60069">
              <w:t>6.Обеспечение</w:t>
            </w:r>
            <w:proofErr w:type="gramEnd"/>
            <w:r w:rsidRPr="00C60069">
              <w:t xml:space="preserve">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 xml:space="preserve">.1. Объемы горно-капитальных работ. Назначение, типы, формы, размеры поперечных сечений и виды крепления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.2 Конструкция, основные геометрические параметры капитальных траншей, а также технология, механизация и </w:t>
            </w:r>
            <w:r w:rsidRPr="00C60069">
              <w:lastRenderedPageBreak/>
              <w:t xml:space="preserve">организация их проведения. Объемы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 Параметры системы разработки в строительный период. Положение горных работ, расстановка экскаваторов на вскрыше и добыче и схема 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</w:t>
            </w:r>
            <w:proofErr w:type="spellStart"/>
            <w:r w:rsidRPr="000645D4">
              <w:rPr>
                <w:b/>
              </w:rPr>
              <w:t>спецтоннельстрое</w:t>
            </w:r>
            <w:proofErr w:type="spellEnd"/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</w:t>
            </w:r>
            <w:r w:rsidRPr="00C60069">
              <w:lastRenderedPageBreak/>
              <w:t>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</w:t>
            </w:r>
            <w:proofErr w:type="spellStart"/>
            <w:r w:rsidRPr="00AE6DBC">
              <w:t>ами</w:t>
            </w:r>
            <w:proofErr w:type="spellEnd"/>
            <w:r w:rsidRPr="00AE6DBC">
              <w:t>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Ознакомление с технологией, механизацией, </w:t>
            </w:r>
            <w:r w:rsidRPr="00AE6DBC">
              <w:lastRenderedPageBreak/>
              <w:t>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 xml:space="preserve">ОПК-3;ПК-5; ПК-6; ПК-7; ПК-8; ПК-9; ПК-11; ПК-12; ПК-13; ПК-14; ПК-15; ПК-16; </w:t>
            </w:r>
            <w:r w:rsidRPr="00CA5293">
              <w:lastRenderedPageBreak/>
              <w:t xml:space="preserve">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      </w:r>
            <w:proofErr w:type="gramStart"/>
            <w:r w:rsidRPr="00C60069">
              <w:t>отвода,  работа</w:t>
            </w:r>
            <w:proofErr w:type="gramEnd"/>
            <w:r w:rsidRPr="00C60069">
              <w:t xml:space="preserve">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</w:t>
            </w:r>
            <w:r w:rsidRPr="00C60069">
              <w:lastRenderedPageBreak/>
              <w:t xml:space="preserve">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</w:t>
            </w:r>
            <w:proofErr w:type="spellStart"/>
            <w:r w:rsidRPr="00C60069">
              <w:t>трещиноватости</w:t>
            </w:r>
            <w:proofErr w:type="spellEnd"/>
            <w:r w:rsidRPr="00C60069">
              <w:t xml:space="preserve">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</w:t>
            </w:r>
            <w:r w:rsidRPr="00C60069">
              <w:lastRenderedPageBreak/>
              <w:t xml:space="preserve">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</w:t>
            </w:r>
            <w:proofErr w:type="spellStart"/>
            <w:r w:rsidRPr="00C60069">
              <w:t>отвалообразователи</w:t>
            </w:r>
            <w:proofErr w:type="spellEnd"/>
            <w:r w:rsidRPr="00C60069">
              <w:t xml:space="preserve">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</w:t>
            </w:r>
            <w:r w:rsidRPr="00C60069">
              <w:lastRenderedPageBreak/>
              <w:t xml:space="preserve">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</w:t>
            </w:r>
            <w:proofErr w:type="spellStart"/>
            <w:r w:rsidRPr="00C60069">
              <w:t>промплощадке</w:t>
            </w:r>
            <w:proofErr w:type="spellEnd"/>
            <w:r w:rsidRPr="00C60069">
              <w:t xml:space="preserve">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</w:t>
            </w:r>
            <w:proofErr w:type="spellStart"/>
            <w:r w:rsidRPr="00C60069">
              <w:t>армировке</w:t>
            </w:r>
            <w:proofErr w:type="spellEnd"/>
            <w:r w:rsidRPr="00C60069">
              <w:t xml:space="preserve">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 xml:space="preserve">В метрострое, </w:t>
            </w:r>
            <w:proofErr w:type="spellStart"/>
            <w:r w:rsidRPr="00AE6DBC">
              <w:rPr>
                <w:b/>
              </w:rPr>
              <w:t>спецтоннельстрое</w:t>
            </w:r>
            <w:proofErr w:type="spellEnd"/>
            <w:r w:rsidRPr="00AE6DBC"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</w:t>
            </w:r>
            <w:r w:rsidRPr="00C60069">
              <w:lastRenderedPageBreak/>
              <w:t xml:space="preserve">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proofErr w:type="spellStart"/>
            <w:r w:rsidRPr="00AE6DBC">
              <w:t>Проложение</w:t>
            </w:r>
            <w:proofErr w:type="spellEnd"/>
            <w:r w:rsidRPr="00AE6DBC">
              <w:t xml:space="preserve">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Вынос в натуру на </w:t>
            </w:r>
            <w:proofErr w:type="spellStart"/>
            <w:r w:rsidRPr="00AE6DBC">
              <w:lastRenderedPageBreak/>
              <w:t>промплощадке</w:t>
            </w:r>
            <w:proofErr w:type="spellEnd"/>
            <w:r w:rsidRPr="00AE6DBC">
              <w:t xml:space="preserve">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Применение разных способов  создания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</w:t>
      </w:r>
      <w:r w:rsidRPr="00350FCD">
        <w:lastRenderedPageBreak/>
        <w:t xml:space="preserve">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</w:t>
      </w:r>
      <w:proofErr w:type="gramStart"/>
      <w:r w:rsidRPr="001B1362">
        <w:rPr>
          <w:rFonts w:eastAsia="Times-Roman"/>
        </w:rPr>
        <w:t>работ :</w:t>
      </w:r>
      <w:proofErr w:type="gramEnd"/>
      <w:r w:rsidRPr="001B1362">
        <w:rPr>
          <w:rFonts w:eastAsia="Times-Roman"/>
        </w:rPr>
        <w:t xml:space="preserve"> учебное пособие / В. Н. Попов, В. Н. </w:t>
      </w:r>
      <w:proofErr w:type="spellStart"/>
      <w:r w:rsidRPr="001B1362">
        <w:rPr>
          <w:rFonts w:eastAsia="Times-Roman"/>
        </w:rPr>
        <w:t>Сученко</w:t>
      </w:r>
      <w:proofErr w:type="spellEnd"/>
      <w:r w:rsidRPr="001B1362">
        <w:rPr>
          <w:rFonts w:eastAsia="Times-Roman"/>
        </w:rPr>
        <w:t xml:space="preserve">, С. В. Бойко. — </w:t>
      </w:r>
      <w:proofErr w:type="gramStart"/>
      <w:r w:rsidRPr="001B1362">
        <w:rPr>
          <w:rFonts w:eastAsia="Times-Roman"/>
        </w:rPr>
        <w:t>Москва :</w:t>
      </w:r>
      <w:proofErr w:type="gramEnd"/>
      <w:r w:rsidRPr="001B1362">
        <w:rPr>
          <w:rFonts w:eastAsia="Times-Roman"/>
        </w:rPr>
        <w:t xml:space="preserve"> Горная книга, </w:t>
      </w:r>
      <w:r w:rsidRPr="001B1362">
        <w:rPr>
          <w:rFonts w:eastAsia="Times-Roman"/>
        </w:rPr>
        <w:lastRenderedPageBreak/>
        <w:t xml:space="preserve">2007. — 271 с. — ISBN 978-5-7418-0483-4. — </w:t>
      </w:r>
      <w:proofErr w:type="gramStart"/>
      <w:r w:rsidRPr="001B1362">
        <w:rPr>
          <w:rFonts w:eastAsia="Times-Roman"/>
        </w:rPr>
        <w:t>Текст :</w:t>
      </w:r>
      <w:proofErr w:type="gramEnd"/>
      <w:r w:rsidRPr="001B1362">
        <w:rPr>
          <w:rFonts w:eastAsia="Times-Roman"/>
        </w:rPr>
        <w:t xml:space="preserve"> электронный // Лань : электронно-библиотечная система. — URL: </w:t>
      </w:r>
      <w:hyperlink r:id="rId14" w:history="1"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</w:t>
      </w:r>
      <w:proofErr w:type="spellStart"/>
      <w:r w:rsidRPr="001B1362">
        <w:rPr>
          <w:rFonts w:eastAsia="Times-Roman"/>
        </w:rPr>
        <w:t>авториз</w:t>
      </w:r>
      <w:proofErr w:type="spellEnd"/>
      <w:r w:rsidRPr="001B1362">
        <w:rPr>
          <w:rFonts w:eastAsia="Times-Roman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>Абрамян, Г.О. Геометрия недр. Геометризация формы и условий залегания залежи [Электронный ресурс</w:t>
      </w:r>
      <w:proofErr w:type="gramStart"/>
      <w:r w:rsidRPr="009A117D">
        <w:t>] :</w:t>
      </w:r>
      <w:proofErr w:type="gramEnd"/>
      <w:r w:rsidRPr="009A117D">
        <w:t xml:space="preserve"> учебное пособие / Г.О. Абрамян, Д.И. Боровский, Е.Н. </w:t>
      </w:r>
      <w:proofErr w:type="spellStart"/>
      <w:r w:rsidRPr="009A117D">
        <w:t>Толчкова</w:t>
      </w:r>
      <w:proofErr w:type="spellEnd"/>
      <w:r w:rsidRPr="009A117D">
        <w:t>. — Электрон</w:t>
      </w:r>
      <w:proofErr w:type="gramStart"/>
      <w:r w:rsidRPr="009A117D">
        <w:t>.</w:t>
      </w:r>
      <w:proofErr w:type="gramEnd"/>
      <w:r w:rsidRPr="009A117D">
        <w:t xml:space="preserve"> дан. — </w:t>
      </w:r>
      <w:proofErr w:type="gramStart"/>
      <w:r w:rsidRPr="009A117D">
        <w:t>Москва :</w:t>
      </w:r>
      <w:proofErr w:type="gramEnd"/>
      <w:r w:rsidRPr="009A117D">
        <w:t xml:space="preserve"> МИСИС, 2018. — 18 с. — Режим доступа: </w:t>
      </w:r>
      <w:hyperlink r:id="rId15" w:anchor="1" w:history="1">
        <w:r w:rsidRPr="009A117D">
          <w:rPr>
            <w:rStyle w:val="a4"/>
          </w:rPr>
          <w:t>https://e.lanbook.com/book/108050/#1</w:t>
        </w:r>
      </w:hyperlink>
      <w:r w:rsidRPr="009A117D">
        <w:t xml:space="preserve"> . — </w:t>
      </w:r>
      <w:proofErr w:type="spellStart"/>
      <w:r w:rsidRPr="009A117D">
        <w:t>Загл</w:t>
      </w:r>
      <w:proofErr w:type="spellEnd"/>
      <w:r w:rsidRPr="009A117D"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</w:t>
      </w:r>
      <w:proofErr w:type="gramStart"/>
      <w:r w:rsidRPr="00A94C30">
        <w:rPr>
          <w:shd w:val="clear" w:color="auto" w:fill="F2F2F2"/>
        </w:rPr>
        <w:t>4 :</w:t>
      </w:r>
      <w:proofErr w:type="gramEnd"/>
      <w:r w:rsidRPr="00A94C30">
        <w:rPr>
          <w:shd w:val="clear" w:color="auto" w:fill="F2F2F2"/>
        </w:rPr>
        <w:t xml:space="preserve"> сборник научных трудов / В. Н. Гусев, Е. М. </w:t>
      </w:r>
      <w:proofErr w:type="spellStart"/>
      <w:r w:rsidRPr="00A94C30">
        <w:rPr>
          <w:shd w:val="clear" w:color="auto" w:fill="F2F2F2"/>
        </w:rPr>
        <w:t>Малюхина</w:t>
      </w:r>
      <w:proofErr w:type="spellEnd"/>
      <w:r w:rsidRPr="00A94C30">
        <w:rPr>
          <w:shd w:val="clear" w:color="auto" w:fill="F2F2F2"/>
        </w:rPr>
        <w:t xml:space="preserve">, Д. А. </w:t>
      </w:r>
      <w:proofErr w:type="spellStart"/>
      <w:r w:rsidRPr="00A94C30">
        <w:rPr>
          <w:shd w:val="clear" w:color="auto" w:fill="F2F2F2"/>
        </w:rPr>
        <w:t>Илюхин</w:t>
      </w:r>
      <w:proofErr w:type="spellEnd"/>
      <w:r w:rsidRPr="00A94C30">
        <w:rPr>
          <w:shd w:val="clear" w:color="auto" w:fill="F2F2F2"/>
        </w:rPr>
        <w:t xml:space="preserve"> [и др.]. — </w:t>
      </w:r>
      <w:proofErr w:type="gramStart"/>
      <w:r w:rsidRPr="00A94C30">
        <w:rPr>
          <w:shd w:val="clear" w:color="auto" w:fill="F2F2F2"/>
        </w:rPr>
        <w:t>Москва :</w:t>
      </w:r>
      <w:proofErr w:type="gramEnd"/>
      <w:r w:rsidRPr="00A94C30">
        <w:rPr>
          <w:shd w:val="clear" w:color="auto" w:fill="F2F2F2"/>
        </w:rPr>
        <w:t xml:space="preserve"> Горная книга, 2018. — 16 с. — </w:t>
      </w:r>
      <w:proofErr w:type="gramStart"/>
      <w:r w:rsidRPr="00A94C30">
        <w:rPr>
          <w:shd w:val="clear" w:color="auto" w:fill="F2F2F2"/>
        </w:rPr>
        <w:t>Текст :</w:t>
      </w:r>
      <w:proofErr w:type="gramEnd"/>
      <w:r w:rsidRPr="00A94C30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history="1"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</w:t>
      </w:r>
      <w:proofErr w:type="spellStart"/>
      <w:r w:rsidRPr="00A94C30">
        <w:rPr>
          <w:shd w:val="clear" w:color="auto" w:fill="F2F2F2"/>
        </w:rPr>
        <w:t>авториз</w:t>
      </w:r>
      <w:proofErr w:type="spellEnd"/>
      <w:r w:rsidRPr="00A94C30">
        <w:rPr>
          <w:shd w:val="clear" w:color="auto" w:fill="F2F2F2"/>
        </w:rPr>
        <w:t>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</w:t>
      </w:r>
      <w:proofErr w:type="gramStart"/>
      <w:r w:rsidRPr="00A94C30">
        <w:rPr>
          <w:color w:val="111111"/>
          <w:shd w:val="clear" w:color="auto" w:fill="FFFFFF"/>
        </w:rPr>
        <w:t>Геодезия :</w:t>
      </w:r>
      <w:proofErr w:type="gramEnd"/>
      <w:r w:rsidRPr="00A94C30">
        <w:rPr>
          <w:color w:val="111111"/>
          <w:shd w:val="clear" w:color="auto" w:fill="FFFFFF"/>
        </w:rPr>
        <w:t xml:space="preserve"> учебник / Б. Н. Дьяков. — Санкт-</w:t>
      </w:r>
      <w:proofErr w:type="gramStart"/>
      <w:r w:rsidRPr="00A94C30">
        <w:rPr>
          <w:color w:val="111111"/>
          <w:shd w:val="clear" w:color="auto" w:fill="FFFFFF"/>
        </w:rPr>
        <w:t>Петербург :</w:t>
      </w:r>
      <w:proofErr w:type="gramEnd"/>
      <w:r w:rsidRPr="00A94C30">
        <w:rPr>
          <w:color w:val="111111"/>
          <w:shd w:val="clear" w:color="auto" w:fill="FFFFFF"/>
        </w:rPr>
        <w:t xml:space="preserve"> Лань, 2018. — 416 с. — ISBN 978-5-8114-3012-3.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</w:t>
      </w:r>
      <w:proofErr w:type="gramStart"/>
      <w:r w:rsidRPr="00AD62EC">
        <w:rPr>
          <w:color w:val="111111"/>
          <w:shd w:val="clear" w:color="auto" w:fill="FFFFFF"/>
        </w:rPr>
        <w:t>недр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42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</w:t>
      </w:r>
      <w:proofErr w:type="spellStart"/>
      <w:proofErr w:type="gramStart"/>
      <w:r w:rsidRPr="00AD62EC">
        <w:rPr>
          <w:color w:val="111111"/>
          <w:shd w:val="clear" w:color="auto" w:fill="FFFFFF"/>
        </w:rPr>
        <w:t>Micromine</w:t>
      </w:r>
      <w:proofErr w:type="spellEnd"/>
      <w:r w:rsidRPr="00AD62EC">
        <w:rPr>
          <w:color w:val="111111"/>
          <w:shd w:val="clear" w:color="auto" w:fill="FFFFFF"/>
        </w:rPr>
        <w:t xml:space="preserve">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Н. П. Сапронова, В. В. </w:t>
      </w:r>
      <w:proofErr w:type="spellStart"/>
      <w:r w:rsidRPr="00AD62EC">
        <w:rPr>
          <w:color w:val="111111"/>
          <w:shd w:val="clear" w:color="auto" w:fill="FFFFFF"/>
        </w:rPr>
        <w:t>Мосейкин</w:t>
      </w:r>
      <w:proofErr w:type="spellEnd"/>
      <w:r w:rsidRPr="00AD62EC">
        <w:rPr>
          <w:color w:val="111111"/>
          <w:shd w:val="clear" w:color="auto" w:fill="FFFFFF"/>
        </w:rPr>
        <w:t xml:space="preserve">, Г. С. Федотов.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73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</w:t>
      </w:r>
      <w:proofErr w:type="gramStart"/>
      <w:r w:rsidRPr="00AD62EC">
        <w:rPr>
          <w:color w:val="111111"/>
          <w:shd w:val="clear" w:color="auto" w:fill="FFFFFF"/>
        </w:rPr>
        <w:t>6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2018. — 124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</w:t>
      </w:r>
      <w:proofErr w:type="gramStart"/>
      <w:r w:rsidRPr="00AD62EC">
        <w:rPr>
          <w:color w:val="111111"/>
          <w:shd w:val="clear" w:color="auto" w:fill="FFFFFF"/>
        </w:rPr>
        <w:t>)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 / В. М. </w:t>
      </w:r>
      <w:proofErr w:type="spellStart"/>
      <w:r w:rsidRPr="00AD62EC">
        <w:rPr>
          <w:color w:val="111111"/>
          <w:shd w:val="clear" w:color="auto" w:fill="FFFFFF"/>
        </w:rPr>
        <w:t>Калинченко</w:t>
      </w:r>
      <w:proofErr w:type="spellEnd"/>
      <w:r w:rsidRPr="00AD62EC">
        <w:rPr>
          <w:color w:val="111111"/>
          <w:shd w:val="clear" w:color="auto" w:fill="FFFFFF"/>
        </w:rPr>
        <w:t xml:space="preserve">, В. В. Руденко, Д. Н. Шурыгин [и др.].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2015. — 28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D62EC">
        <w:rPr>
          <w:color w:val="111111"/>
          <w:shd w:val="clear" w:color="auto" w:fill="FFFFFF"/>
        </w:rPr>
        <w:t>Геомеханика</w:t>
      </w:r>
      <w:proofErr w:type="spellEnd"/>
      <w:r w:rsidRPr="00AD62EC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D62EC">
        <w:rPr>
          <w:color w:val="111111"/>
          <w:shd w:val="clear" w:color="auto" w:fill="FFFFFF"/>
        </w:rPr>
        <w:t>пород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D62EC">
        <w:rPr>
          <w:color w:val="111111"/>
          <w:shd w:val="clear" w:color="auto" w:fill="FFFFFF"/>
        </w:rPr>
        <w:t>Пуневский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Орлов, Г. В. Сдвижение горных пород и земной поверхности под влиянием подземной </w:t>
      </w:r>
      <w:proofErr w:type="gramStart"/>
      <w:r w:rsidRPr="00AD62EC">
        <w:rPr>
          <w:color w:val="111111"/>
          <w:shd w:val="clear" w:color="auto" w:fill="FFFFFF"/>
        </w:rPr>
        <w:t>разработки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В. Орлов. — 3-е изд., стер.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2017. — 198 с. — ISBN 978-5-98672-468-3.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D62EC">
        <w:rPr>
          <w:color w:val="111111"/>
          <w:shd w:val="clear" w:color="auto" w:fill="FFFFFF"/>
        </w:rPr>
        <w:t>Геомеханическое</w:t>
      </w:r>
      <w:proofErr w:type="spellEnd"/>
      <w:r w:rsidRPr="00AD62EC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D62EC">
        <w:rPr>
          <w:color w:val="111111"/>
          <w:shd w:val="clear" w:color="auto" w:fill="FFFFFF"/>
        </w:rPr>
        <w:t>Абрамкин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https://e.lanbook.com/book/93620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</w:t>
      </w:r>
      <w:proofErr w:type="spellStart"/>
      <w:r w:rsidRPr="00AD62EC">
        <w:rPr>
          <w:color w:val="111111"/>
          <w:shd w:val="clear" w:color="auto" w:fill="FFFFFF"/>
        </w:rPr>
        <w:t>геомеханическими</w:t>
      </w:r>
      <w:proofErr w:type="spellEnd"/>
      <w:r w:rsidRPr="00AD62EC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D62EC">
        <w:rPr>
          <w:color w:val="111111"/>
          <w:shd w:val="clear" w:color="auto" w:fill="FFFFFF"/>
        </w:rPr>
        <w:t>Казикаев</w:t>
      </w:r>
      <w:proofErr w:type="spellEnd"/>
      <w:r w:rsidRPr="00AD62EC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D62EC">
        <w:rPr>
          <w:color w:val="111111"/>
          <w:shd w:val="clear" w:color="auto" w:fill="FFFFFF"/>
        </w:rPr>
        <w:t>Каспарьян</w:t>
      </w:r>
      <w:proofErr w:type="spellEnd"/>
      <w:r w:rsidRPr="00AD62EC">
        <w:rPr>
          <w:color w:val="111111"/>
          <w:shd w:val="clear" w:color="auto" w:fill="FFFFFF"/>
        </w:rPr>
        <w:t xml:space="preserve">, М. А. </w:t>
      </w:r>
      <w:proofErr w:type="spellStart"/>
      <w:r w:rsidRPr="00AD62EC">
        <w:rPr>
          <w:color w:val="111111"/>
          <w:shd w:val="clear" w:color="auto" w:fill="FFFFFF"/>
        </w:rPr>
        <w:t>Иофис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, И. И. </w:t>
      </w:r>
      <w:proofErr w:type="gramStart"/>
      <w:r w:rsidRPr="00AD62EC">
        <w:rPr>
          <w:color w:val="111111"/>
          <w:shd w:val="clear" w:color="auto" w:fill="FFFFFF"/>
        </w:rPr>
        <w:t>Геодезия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55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</w:t>
      </w:r>
      <w:proofErr w:type="gramStart"/>
      <w:r w:rsidRPr="00AD62EC">
        <w:rPr>
          <w:color w:val="111111"/>
          <w:shd w:val="clear" w:color="auto" w:fill="FFFFFF"/>
        </w:rPr>
        <w:t>геологии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М. С. Захаров, А. Г. Кобзев. — Санкт-</w:t>
      </w:r>
      <w:proofErr w:type="gramStart"/>
      <w:r w:rsidRPr="00AD62EC">
        <w:rPr>
          <w:color w:val="111111"/>
          <w:shd w:val="clear" w:color="auto" w:fill="FFFFFF"/>
        </w:rPr>
        <w:t>Петербург :</w:t>
      </w:r>
      <w:proofErr w:type="gramEnd"/>
      <w:r w:rsidRPr="00AD62EC">
        <w:rPr>
          <w:color w:val="111111"/>
          <w:shd w:val="clear" w:color="auto" w:fill="FFFFFF"/>
        </w:rPr>
        <w:t xml:space="preserve"> Лань, 2017. — 116 с. — ISBN 978-5-8114-2735-2.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history="1"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</w:t>
      </w:r>
      <w:proofErr w:type="gramStart"/>
      <w:r w:rsidRPr="00AD62EC">
        <w:rPr>
          <w:color w:val="111111"/>
          <w:shd w:val="clear" w:color="auto" w:fill="FFFFFF"/>
        </w:rPr>
        <w:t>местности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О. Ф. Кузнецов. — 2-е изд. </w:t>
      </w:r>
      <w:proofErr w:type="spellStart"/>
      <w:r w:rsidRPr="00AD62EC">
        <w:rPr>
          <w:color w:val="111111"/>
          <w:shd w:val="clear" w:color="auto" w:fill="FFFFFF"/>
        </w:rPr>
        <w:t>перераб</w:t>
      </w:r>
      <w:proofErr w:type="spellEnd"/>
      <w:r w:rsidRPr="00AD62EC">
        <w:rPr>
          <w:color w:val="111111"/>
          <w:shd w:val="clear" w:color="auto" w:fill="FFFFFF"/>
        </w:rPr>
        <w:t xml:space="preserve">. и доп.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286 с. — ISBN 978-5-9729-0175-3.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9" w:history="1"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, Б. А. Программное обеспечение геодезии, фотограмметрии, кадастра, инженерных </w:t>
      </w:r>
      <w:proofErr w:type="gramStart"/>
      <w:r w:rsidRPr="00AD62EC">
        <w:rPr>
          <w:color w:val="111111"/>
          <w:shd w:val="clear" w:color="auto" w:fill="FFFFFF"/>
        </w:rPr>
        <w:t>изысканий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Б. А. </w:t>
      </w: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244 с. — ISBN 978-5-9729-0224-8.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0" w:history="1"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</w:t>
      </w:r>
      <w:proofErr w:type="gramStart"/>
      <w:r w:rsidRPr="00AD62EC">
        <w:rPr>
          <w:color w:val="111111"/>
          <w:shd w:val="clear" w:color="auto" w:fill="FFFFFF"/>
        </w:rPr>
        <w:t>измерений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Т. В. Михайлова, Т. Б. Рогова. — </w:t>
      </w:r>
      <w:proofErr w:type="gramStart"/>
      <w:r w:rsidRPr="00AD62EC">
        <w:rPr>
          <w:color w:val="111111"/>
          <w:shd w:val="clear" w:color="auto" w:fill="FFFFFF"/>
        </w:rPr>
        <w:t>Кемерово :</w:t>
      </w:r>
      <w:proofErr w:type="gramEnd"/>
      <w:r w:rsidRPr="00AD62EC">
        <w:rPr>
          <w:color w:val="111111"/>
          <w:shd w:val="clear" w:color="auto" w:fill="FFFFFF"/>
        </w:rPr>
        <w:t xml:space="preserve"> </w:t>
      </w:r>
      <w:proofErr w:type="spellStart"/>
      <w:r w:rsidRPr="00AD62EC">
        <w:rPr>
          <w:color w:val="111111"/>
          <w:shd w:val="clear" w:color="auto" w:fill="FFFFFF"/>
        </w:rPr>
        <w:t>КузГТУ</w:t>
      </w:r>
      <w:proofErr w:type="spellEnd"/>
      <w:r w:rsidRPr="00AD62EC">
        <w:rPr>
          <w:color w:val="111111"/>
          <w:shd w:val="clear" w:color="auto" w:fill="FFFFFF"/>
        </w:rPr>
        <w:t xml:space="preserve"> имени Т.Ф. Горбачева, 2017. — 109 с. — ISBN 978-5-906888-85-3.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1" w:history="1"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AD62EC">
        <w:rPr>
          <w:color w:val="111111"/>
          <w:shd w:val="clear" w:color="auto" w:fill="FFFFFF"/>
        </w:rPr>
        <w:t>Маркшейдерия :</w:t>
      </w:r>
      <w:proofErr w:type="gramEnd"/>
      <w:r w:rsidRPr="00AD62EC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2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3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</w:t>
      </w:r>
      <w:proofErr w:type="gramStart"/>
      <w:r w:rsidRPr="00AD62EC">
        <w:rPr>
          <w:color w:val="111111"/>
          <w:shd w:val="clear" w:color="auto" w:fill="FFFFFF"/>
        </w:rPr>
        <w:t>ресурсов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В. С. Коваленко, А. В. Николаев.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4" w:history="1"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Г. Н.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Н. </w:t>
      </w: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Т. Б. Рогова, Т. В. Михайлова.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2019. — 146 с. — ISBN 978-5-00137-081-9.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5" w:history="1"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, И. И.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2018. — 84 с. — ISBN 978-5-907061-03-3.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6" w:history="1"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В. Н. Попов, В. А. </w:t>
      </w:r>
      <w:proofErr w:type="spellStart"/>
      <w:r w:rsidRPr="009B14C6">
        <w:rPr>
          <w:color w:val="111111"/>
          <w:shd w:val="clear" w:color="auto" w:fill="FFFFFF"/>
        </w:rPr>
        <w:t>Букринский</w:t>
      </w:r>
      <w:proofErr w:type="spellEnd"/>
      <w:r w:rsidRPr="009B14C6">
        <w:rPr>
          <w:color w:val="111111"/>
          <w:shd w:val="clear" w:color="auto" w:fill="FFFFFF"/>
        </w:rPr>
        <w:t xml:space="preserve">, П. Н. </w:t>
      </w:r>
      <w:proofErr w:type="spellStart"/>
      <w:r w:rsidRPr="009B14C6">
        <w:rPr>
          <w:color w:val="111111"/>
          <w:shd w:val="clear" w:color="auto" w:fill="FFFFFF"/>
        </w:rPr>
        <w:t>Бруевич</w:t>
      </w:r>
      <w:proofErr w:type="spellEnd"/>
      <w:r w:rsidRPr="009B14C6">
        <w:rPr>
          <w:color w:val="111111"/>
          <w:shd w:val="clear" w:color="auto" w:fill="FFFFFF"/>
        </w:rPr>
        <w:t xml:space="preserve">, Д. И. Боровский. — 3-е изд.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Горная книга, 2010. — 453 с. — ISBN 978-5-98672-179-8.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7" w:history="1"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</w:t>
      </w:r>
      <w:proofErr w:type="gramStart"/>
      <w:r w:rsidRPr="009B14C6">
        <w:rPr>
          <w:color w:val="111111"/>
          <w:shd w:val="clear" w:color="auto" w:fill="FFFFFF"/>
        </w:rPr>
        <w:t>маркшейдерии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А. Корецкая.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2012. — 93 с. — ISBN 978-5-89070-840-3.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8" w:history="1"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9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, С. П. Маркшейдерские работы при открытой разработке полезных </w:t>
      </w:r>
      <w:proofErr w:type="gramStart"/>
      <w:r w:rsidRPr="009B14C6">
        <w:rPr>
          <w:color w:val="111111"/>
          <w:shd w:val="clear" w:color="auto" w:fill="FFFFFF"/>
        </w:rPr>
        <w:t>ископаемых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С. П. </w:t>
      </w: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2020. — 212 с. — ISBN 978-5-00137-120-5.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0" w:history="1"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Т. Б. Рогова, Т. В. Михайлова, Д. В. Гурьев.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2018. — 83 с. — ISBN 978-5-906969-61-3.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1" w:history="1"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Анализ точности маркшейдерских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проектирование производства маркшейдерских работ при проведении горных выработок встречными забоями : методические указания / Н. П. Сапронова.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25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https://e.lanbook.com/book/116444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2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</w:t>
      </w:r>
      <w:proofErr w:type="spellStart"/>
      <w:r w:rsidRPr="00A94C30">
        <w:rPr>
          <w:color w:val="111111"/>
          <w:shd w:val="clear" w:color="auto" w:fill="FFFFFF"/>
        </w:rPr>
        <w:t>геомеханическими</w:t>
      </w:r>
      <w:proofErr w:type="spellEnd"/>
      <w:r w:rsidRPr="00A94C30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94C30">
        <w:rPr>
          <w:color w:val="111111"/>
          <w:shd w:val="clear" w:color="auto" w:fill="FFFFFF"/>
        </w:rPr>
        <w:t>ископаемых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94C30">
        <w:rPr>
          <w:color w:val="111111"/>
          <w:shd w:val="clear" w:color="auto" w:fill="FFFFFF"/>
        </w:rPr>
        <w:t>Казикаев</w:t>
      </w:r>
      <w:proofErr w:type="spellEnd"/>
      <w:r w:rsidRPr="00A94C30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94C30">
        <w:rPr>
          <w:color w:val="111111"/>
          <w:shd w:val="clear" w:color="auto" w:fill="FFFFFF"/>
        </w:rPr>
        <w:t>Каспарьян</w:t>
      </w:r>
      <w:proofErr w:type="spellEnd"/>
      <w:r w:rsidRPr="00A94C30">
        <w:rPr>
          <w:color w:val="111111"/>
          <w:shd w:val="clear" w:color="auto" w:fill="FFFFFF"/>
        </w:rPr>
        <w:t xml:space="preserve">, М. А. </w:t>
      </w:r>
      <w:proofErr w:type="spellStart"/>
      <w:r w:rsidRPr="00A94C30">
        <w:rPr>
          <w:color w:val="111111"/>
          <w:shd w:val="clear" w:color="auto" w:fill="FFFFFF"/>
        </w:rPr>
        <w:t>Иофис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3" w:history="1"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t>разработки :</w:t>
      </w:r>
      <w:proofErr w:type="gramEnd"/>
      <w:r w:rsidRPr="00DE06D9">
        <w:t xml:space="preserve"> учебное пособие / Г. В. Орлов. — 3-е изд., стер. — </w:t>
      </w:r>
      <w:proofErr w:type="gramStart"/>
      <w:r w:rsidRPr="00DE06D9">
        <w:t>Москва :</w:t>
      </w:r>
      <w:proofErr w:type="gramEnd"/>
      <w:r w:rsidRPr="00DE06D9">
        <w:t xml:space="preserve"> Горная книга, 2017. — 198 с. — ISBN 978-5-98672-468-3.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4" w:history="1"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М. Е. Певзнер, М. А. </w:t>
      </w:r>
      <w:proofErr w:type="spellStart"/>
      <w:r w:rsidRPr="00DE06D9">
        <w:t>Иофис</w:t>
      </w:r>
      <w:proofErr w:type="spellEnd"/>
      <w:r w:rsidRPr="00DE06D9">
        <w:t xml:space="preserve">, В. Н. Попов. — </w:t>
      </w:r>
      <w:proofErr w:type="gramStart"/>
      <w:r w:rsidRPr="00DE06D9">
        <w:t>Москва :</w:t>
      </w:r>
      <w:proofErr w:type="gramEnd"/>
      <w:r w:rsidRPr="00DE06D9">
        <w:t xml:space="preserve"> Горная книга, 2008. — 438 с. — ISBN 978-5-7418-0528-2.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5" w:history="1"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Ю. А. Боровков. — Санкт-</w:t>
      </w:r>
      <w:proofErr w:type="gramStart"/>
      <w:r w:rsidRPr="00DE06D9">
        <w:t>Петербург :</w:t>
      </w:r>
      <w:proofErr w:type="gramEnd"/>
      <w:r w:rsidRPr="00DE06D9">
        <w:t xml:space="preserve"> Лань, 2020. — 356 с. — ISBN 978-5-8114-4124-2.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6" w:history="1"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94C30">
        <w:rPr>
          <w:color w:val="111111"/>
          <w:shd w:val="clear" w:color="auto" w:fill="FFFFFF"/>
        </w:rPr>
        <w:t>Геомеханика</w:t>
      </w:r>
      <w:proofErr w:type="spellEnd"/>
      <w:r w:rsidRPr="00A94C30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94C30">
        <w:rPr>
          <w:color w:val="111111"/>
          <w:shd w:val="clear" w:color="auto" w:fill="FFFFFF"/>
        </w:rPr>
        <w:t>пород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94C30">
        <w:rPr>
          <w:color w:val="111111"/>
          <w:shd w:val="clear" w:color="auto" w:fill="FFFFFF"/>
        </w:rPr>
        <w:t>Пуневский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7" w:history="1"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[Электронный ресурс] : учебное пособие / Б.Д. Терентьев, В.В. Мельник, Н.И.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>. — Электрон</w:t>
      </w:r>
      <w:proofErr w:type="gramStart"/>
      <w:r w:rsidRPr="00A94C30">
        <w:rPr>
          <w:color w:val="111111"/>
          <w:shd w:val="clear" w:color="auto" w:fill="FFFFFF"/>
        </w:rPr>
        <w:t>.</w:t>
      </w:r>
      <w:proofErr w:type="gramEnd"/>
      <w:r w:rsidRPr="00A94C30">
        <w:rPr>
          <w:color w:val="111111"/>
          <w:shd w:val="clear" w:color="auto" w:fill="FFFFFF"/>
        </w:rPr>
        <w:t xml:space="preserve"> дан.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Режим доступа: </w:t>
      </w:r>
      <w:hyperlink r:id="rId48" w:anchor="1" w:history="1"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</w:t>
      </w:r>
      <w:proofErr w:type="spellStart"/>
      <w:r w:rsidRPr="00A94C30">
        <w:rPr>
          <w:color w:val="111111"/>
          <w:shd w:val="clear" w:color="auto" w:fill="FFFFFF"/>
        </w:rPr>
        <w:t>Загл</w:t>
      </w:r>
      <w:proofErr w:type="spellEnd"/>
      <w:r w:rsidRPr="00A94C30">
        <w:rPr>
          <w:color w:val="111111"/>
          <w:shd w:val="clear" w:color="auto" w:fill="FFFFFF"/>
        </w:rPr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9" w:history="1"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</w:t>
      </w:r>
      <w:proofErr w:type="spellStart"/>
      <w:r w:rsidRPr="00712AE2">
        <w:t>геомеханика</w:t>
      </w:r>
      <w:proofErr w:type="spellEnd"/>
      <w:r w:rsidRPr="00712AE2">
        <w:t xml:space="preserve"> (пособие для горных инженеров</w:t>
      </w:r>
      <w:proofErr w:type="gramStart"/>
      <w:r w:rsidRPr="00712AE2">
        <w:t>) :</w:t>
      </w:r>
      <w:proofErr w:type="gramEnd"/>
      <w:r w:rsidRPr="00712AE2">
        <w:t xml:space="preserve"> учебное пособие / А. Б. Макаров. — </w:t>
      </w:r>
      <w:proofErr w:type="gramStart"/>
      <w:r w:rsidRPr="00712AE2">
        <w:t>Москва :</w:t>
      </w:r>
      <w:proofErr w:type="gramEnd"/>
      <w:r w:rsidRPr="00712AE2">
        <w:t xml:space="preserve"> Горная книга, 2006. — 391 с. — ISBN 5-98672-038-5. — </w:t>
      </w:r>
      <w:proofErr w:type="gramStart"/>
      <w:r w:rsidRPr="00712AE2">
        <w:t>Текст :</w:t>
      </w:r>
      <w:proofErr w:type="gramEnd"/>
      <w:r w:rsidRPr="00712AE2">
        <w:t xml:space="preserve"> электронный // Лань : электронно-библиотечная система. — URL: </w:t>
      </w:r>
      <w:hyperlink r:id="rId50" w:history="1"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</w:t>
      </w:r>
      <w:proofErr w:type="spellStart"/>
      <w:r w:rsidRPr="00712AE2">
        <w:t>авториз</w:t>
      </w:r>
      <w:proofErr w:type="spellEnd"/>
      <w:r w:rsidRPr="00712AE2">
        <w:t>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lastRenderedPageBreak/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 xml:space="preserve">«GPS </w:t>
      </w:r>
      <w:proofErr w:type="spellStart"/>
      <w:r w:rsidRPr="00004A88">
        <w:t>World</w:t>
      </w:r>
      <w:proofErr w:type="spellEnd"/>
      <w:r w:rsidRPr="00004A88">
        <w:t>», «</w:t>
      </w:r>
      <w:proofErr w:type="spellStart"/>
      <w:r w:rsidRPr="00004A88">
        <w:t>JournalofGeodesy</w:t>
      </w:r>
      <w:proofErr w:type="spellEnd"/>
      <w:r w:rsidRPr="00004A88">
        <w:t>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</w:t>
      </w:r>
      <w:proofErr w:type="spellStart"/>
      <w:proofErr w:type="gramStart"/>
      <w:r>
        <w:t>Емельяненко,О.С.Колесатова</w:t>
      </w:r>
      <w:proofErr w:type="spellEnd"/>
      <w:proofErr w:type="gramEnd"/>
      <w:r>
        <w:t xml:space="preserve">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proofErr w:type="spellStart"/>
      <w:r w:rsidRPr="00FB29F0">
        <w:rPr>
          <w:lang w:val="en-US"/>
        </w:rPr>
        <w:t>polpred</w:t>
      </w:r>
      <w:proofErr w:type="spellEnd"/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polpred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proofErr w:type="spellStart"/>
        <w:r w:rsidRPr="00FB29F0">
          <w:rPr>
            <w:color w:val="0000FF"/>
            <w:u w:val="single"/>
            <w:lang w:val="en-US"/>
          </w:rPr>
          <w:t>elibrary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proofErr w:type="spellStart"/>
        <w:r w:rsidRPr="00FB29F0">
          <w:rPr>
            <w:color w:val="0000FF"/>
            <w:u w:val="single"/>
            <w:lang w:val="en-US"/>
          </w:rPr>
          <w:t>risc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edu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proofErr w:type="spellStart"/>
        <w:r w:rsidRPr="00FB29F0">
          <w:rPr>
            <w:color w:val="0000FF"/>
            <w:u w:val="single"/>
            <w:lang w:val="en-US"/>
          </w:rPr>
          <w:t>fips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33" w:rsidRDefault="001D5A33">
      <w:r>
        <w:separator/>
      </w:r>
    </w:p>
  </w:endnote>
  <w:endnote w:type="continuationSeparator" w:id="0">
    <w:p w:rsidR="001D5A33" w:rsidRDefault="001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33" w:rsidRDefault="001D5A33">
      <w:r>
        <w:separator/>
      </w:r>
    </w:p>
  </w:footnote>
  <w:footnote w:type="continuationSeparator" w:id="0">
    <w:p w:rsidR="001D5A33" w:rsidRDefault="001D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5A33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217B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16A8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36CAD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CA332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0" Type="http://schemas.openxmlformats.org/officeDocument/2006/relationships/hyperlink" Target="https://e.lanbook.com/book/105285" TargetMode="External"/><Relationship Id="rId29" Type="http://schemas.openxmlformats.org/officeDocument/2006/relationships/hyperlink" Target="https://e.lanbook.com/book/108671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049" TargetMode="Externa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441CC-C851-4AD2-90C1-A5607A9E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ГМДиОПИ</cp:lastModifiedBy>
  <cp:revision>7</cp:revision>
  <cp:lastPrinted>2015-10-23T09:31:00Z</cp:lastPrinted>
  <dcterms:created xsi:type="dcterms:W3CDTF">2020-11-01T20:21:00Z</dcterms:created>
  <dcterms:modified xsi:type="dcterms:W3CDTF">2020-11-01T22:31:00Z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