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D1" w:rsidRDefault="007742D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396"/>
            <wp:effectExtent l="19050" t="0" r="2540" b="0"/>
            <wp:docPr id="2" name="Рисунок 1" descr="F:\12_РПД_2017-2020\2020\СКАНЫ титулов\09-10-2020_06-37-17\пропе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_РПД_2017-2020\2020\СКАНЫ титулов\09-10-2020_06-37-17\пропеде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8" w:rsidRDefault="007742D1">
      <w:pPr>
        <w:rPr>
          <w:sz w:val="0"/>
          <w:szCs w:val="0"/>
        </w:rPr>
      </w:pPr>
      <w:r>
        <w:br w:type="page"/>
      </w:r>
    </w:p>
    <w:p w:rsidR="007742D1" w:rsidRDefault="007742D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19050" t="0" r="2540" b="0"/>
            <wp:docPr id="3" name="Рисунок 2" descr="F:\12_РПД_2017-2020\2020\СКАНЫ титулов\09-10-2020_06-37-17\комп гра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2_РПД_2017-2020\2020\СКАНЫ титулов\09-10-2020_06-37-17\комп граф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D2E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D2E58">
        <w:trPr>
          <w:trHeight w:hRule="exact" w:val="131"/>
        </w:trPr>
        <w:tc>
          <w:tcPr>
            <w:tcW w:w="3119" w:type="dxa"/>
          </w:tcPr>
          <w:p w:rsidR="00ED2E58" w:rsidRDefault="00ED2E58"/>
        </w:tc>
        <w:tc>
          <w:tcPr>
            <w:tcW w:w="6238" w:type="dxa"/>
          </w:tcPr>
          <w:p w:rsidR="00ED2E58" w:rsidRDefault="00ED2E58"/>
        </w:tc>
      </w:tr>
      <w:tr w:rsidR="00ED2E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Default="00ED2E58"/>
        </w:tc>
      </w:tr>
      <w:tr w:rsidR="00ED2E58">
        <w:trPr>
          <w:trHeight w:hRule="exact" w:val="13"/>
        </w:trPr>
        <w:tc>
          <w:tcPr>
            <w:tcW w:w="3119" w:type="dxa"/>
          </w:tcPr>
          <w:p w:rsidR="00ED2E58" w:rsidRDefault="00ED2E58"/>
        </w:tc>
        <w:tc>
          <w:tcPr>
            <w:tcW w:w="6238" w:type="dxa"/>
          </w:tcPr>
          <w:p w:rsidR="00ED2E58" w:rsidRDefault="00ED2E58"/>
        </w:tc>
      </w:tr>
      <w:tr w:rsidR="00ED2E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Default="00ED2E58"/>
        </w:tc>
      </w:tr>
      <w:tr w:rsidR="00ED2E58">
        <w:trPr>
          <w:trHeight w:hRule="exact" w:val="96"/>
        </w:trPr>
        <w:tc>
          <w:tcPr>
            <w:tcW w:w="3119" w:type="dxa"/>
          </w:tcPr>
          <w:p w:rsidR="00ED2E58" w:rsidRDefault="00ED2E58"/>
        </w:tc>
        <w:tc>
          <w:tcPr>
            <w:tcW w:w="6238" w:type="dxa"/>
          </w:tcPr>
          <w:p w:rsidR="00ED2E58" w:rsidRDefault="00ED2E58"/>
        </w:tc>
      </w:tr>
      <w:tr w:rsidR="00ED2E58" w:rsidRPr="007742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ED2E58" w:rsidRPr="007742D1">
        <w:trPr>
          <w:trHeight w:hRule="exact" w:val="138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D2E58" w:rsidRPr="007742D1">
        <w:trPr>
          <w:trHeight w:hRule="exact" w:val="277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3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96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ED2E58" w:rsidRPr="007742D1">
        <w:trPr>
          <w:trHeight w:hRule="exact" w:val="138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D2E58" w:rsidRPr="007742D1">
        <w:trPr>
          <w:trHeight w:hRule="exact" w:val="277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3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96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ED2E58" w:rsidRPr="007742D1">
        <w:trPr>
          <w:trHeight w:hRule="exact" w:val="138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D2E58" w:rsidRPr="007742D1">
        <w:trPr>
          <w:trHeight w:hRule="exact" w:val="277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3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96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ED2E58" w:rsidRPr="007742D1">
        <w:trPr>
          <w:trHeight w:hRule="exact" w:val="138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555"/>
        </w:trPr>
        <w:tc>
          <w:tcPr>
            <w:tcW w:w="311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</w:tbl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D2E58" w:rsidTr="007742D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D2E58" w:rsidRPr="007742D1" w:rsidTr="007742D1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«Пропедевтика»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компетенций;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выразительно-содержательную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композицию.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138"/>
        </w:trPr>
        <w:tc>
          <w:tcPr>
            <w:tcW w:w="199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 w:rsidTr="007742D1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Пропедевтика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Б1.В.07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«Пропедевтика»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Tr="007742D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ED2E58" w:rsidTr="007742D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ED2E58" w:rsidRPr="007742D1" w:rsidTr="007742D1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138"/>
        </w:trPr>
        <w:tc>
          <w:tcPr>
            <w:tcW w:w="199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 w:rsidTr="007742D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«Пропедевтика»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D2E58" w:rsidRPr="007742D1" w:rsidTr="007742D1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композиции;</w:t>
            </w:r>
          </w:p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типы, формы и приемы композиции;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приемами и средствами гармонизации формальной композиции;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основных средств и приемов, использующихся для создания гармоничной формальной композиции.</w:t>
            </w:r>
          </w:p>
        </w:tc>
      </w:tr>
      <w:tr w:rsidR="00ED2E58" w:rsidRPr="007742D1" w:rsidTr="007742D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признаки формальной композиции;</w:t>
            </w:r>
          </w:p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законы формальной композиции;</w:t>
            </w:r>
          </w:p>
        </w:tc>
      </w:tr>
      <w:tr w:rsidR="00ED2E58" w:rsidRPr="007742D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проявления асимметрии в симметричных формах;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возможностей декоративной линии и фактуры в формальных композициях.</w:t>
            </w:r>
          </w:p>
        </w:tc>
      </w:tr>
      <w:tr w:rsidR="00ED2E58" w:rsidRPr="007742D1" w:rsidTr="007742D1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 w:rsidP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образного и эмоционального восприятия формы;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символическое значение цвета во взаимосвязи с формой;</w:t>
            </w:r>
          </w:p>
        </w:tc>
      </w:tr>
    </w:tbl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уравновешивать ахроматические пятна внутри формальной композиции;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создания эмоционально насыщенных, образных,  формальных композиций.</w:t>
            </w:r>
          </w:p>
        </w:tc>
      </w:tr>
      <w:tr w:rsidR="00ED2E58" w:rsidRPr="007742D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цвето-фактурную выразительность формальных композиций;</w:t>
            </w:r>
          </w:p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соответствие тоновых и цветовых выразительных контрастов;</w:t>
            </w:r>
          </w:p>
        </w:tc>
      </w:tr>
      <w:tr w:rsidR="00ED2E58" w:rsidRPr="007742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декоративные объекты и композиции с позиции формального подхода;</w:t>
            </w:r>
          </w:p>
        </w:tc>
      </w:tr>
      <w:tr w:rsidR="00ED2E58" w:rsidRPr="007742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создания формальных уравновешенных композиций, предполагаемых к воплощению в художественном металле различными техниками.</w:t>
            </w:r>
          </w:p>
        </w:tc>
      </w:tr>
    </w:tbl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679"/>
        <w:gridCol w:w="434"/>
        <w:gridCol w:w="576"/>
        <w:gridCol w:w="710"/>
        <w:gridCol w:w="720"/>
        <w:gridCol w:w="571"/>
        <w:gridCol w:w="1572"/>
        <w:gridCol w:w="1705"/>
        <w:gridCol w:w="1284"/>
      </w:tblGrid>
      <w:tr w:rsidR="00ED2E58" w:rsidRPr="007742D1">
        <w:trPr>
          <w:trHeight w:hRule="exact" w:val="285"/>
        </w:trPr>
        <w:tc>
          <w:tcPr>
            <w:tcW w:w="710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ED2E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7742D1" w:rsidRPr="007742D1">
        <w:trPr>
          <w:trHeight w:hRule="exact" w:val="138"/>
        </w:trPr>
        <w:tc>
          <w:tcPr>
            <w:tcW w:w="710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742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E58" w:rsidRDefault="00ED2E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E58" w:rsidRDefault="00ED2E5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ED2E5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композицию.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7742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 w:rsidP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742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 w:rsidP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742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Тональные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 w:rsidP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74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774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ED2E58" w:rsidRPr="00774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7742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Ахроматические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фактурные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 w:rsidP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742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74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774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</w:tr>
      <w:tr w:rsidR="007742D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102/36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ОК-1,ОК- 3,ОПК-1,ПК- 3</w:t>
            </w:r>
          </w:p>
        </w:tc>
      </w:tr>
    </w:tbl>
    <w:p w:rsidR="00ED2E58" w:rsidRDefault="007742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D2E58" w:rsidRPr="007742D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«Пропедевтика»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742D1">
              <w:rPr>
                <w:lang w:val="ru-RU"/>
              </w:rPr>
              <w:t xml:space="preserve"> </w:t>
            </w:r>
          </w:p>
        </w:tc>
      </w:tr>
    </w:tbl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0"/>
      </w:tblGrid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>
              <w:t xml:space="preserve"> </w:t>
            </w:r>
          </w:p>
        </w:tc>
      </w:tr>
      <w:tr w:rsidR="00ED2E58">
        <w:trPr>
          <w:trHeight w:hRule="exact" w:val="277"/>
        </w:trPr>
        <w:tc>
          <w:tcPr>
            <w:tcW w:w="9357" w:type="dxa"/>
          </w:tcPr>
          <w:p w:rsidR="00ED2E58" w:rsidRDefault="00ED2E58"/>
        </w:tc>
      </w:tr>
      <w:tr w:rsidR="00ED2E58" w:rsidRPr="007742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D2E58">
        <w:trPr>
          <w:trHeight w:hRule="exact" w:val="138"/>
        </w:trPr>
        <w:tc>
          <w:tcPr>
            <w:tcW w:w="9357" w:type="dxa"/>
          </w:tcPr>
          <w:p w:rsidR="00ED2E58" w:rsidRDefault="00ED2E58"/>
        </w:tc>
      </w:tr>
      <w:tr w:rsidR="00ED2E58" w:rsidRPr="007742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D2E58">
        <w:trPr>
          <w:trHeight w:hRule="exact" w:val="138"/>
        </w:trPr>
        <w:tc>
          <w:tcPr>
            <w:tcW w:w="9357" w:type="dxa"/>
          </w:tcPr>
          <w:p w:rsidR="00ED2E58" w:rsidRDefault="00ED2E58"/>
        </w:tc>
      </w:tr>
      <w:tr w:rsidR="00ED2E58" w:rsidRPr="007742D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D2E58" w:rsidRPr="007742D1" w:rsidTr="007742D1">
        <w:trPr>
          <w:trHeight w:hRule="exact" w:val="24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Тухбатуллина,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Пропедевтика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Тухбатуллина,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Хамматова.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10.12737/1020434.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978-5-16-015230-1.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6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/1020434</w:t>
              </w:r>
            </w:hyperlink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Касатова,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Касатова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7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=2707.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/1/1131769/2707.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>
        <w:trPr>
          <w:trHeight w:hRule="exact" w:val="138"/>
        </w:trPr>
        <w:tc>
          <w:tcPr>
            <w:tcW w:w="9357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D2E58" w:rsidRPr="007742D1" w:rsidTr="007742D1">
        <w:trPr>
          <w:trHeight w:hRule="exact" w:val="6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Каган-Розенцвейг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8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=3347.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/1/1138525/3347.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978-5-9967-1022-5.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Иттен,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Иттен.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9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avidreaders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cveta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Иттен,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Иттен.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10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aliveline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ArtOfForm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Барциц,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Барциц.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978-5-4263-0355-3.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11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/1020521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ФЛИНТА,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илл.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12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studfile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/5759035/</w:t>
              </w:r>
            </w:hyperlink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742D1">
              <w:rPr>
                <w:lang w:val="ru-RU"/>
              </w:rPr>
              <w:t xml:space="preserve"> </w:t>
            </w:r>
            <w:hyperlink r:id="rId13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studfile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download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=5759035&amp;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code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=097166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46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007609181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ffb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9&amp;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download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status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process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0001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>
        <w:trPr>
          <w:trHeight w:hRule="exact" w:val="139"/>
        </w:trPr>
        <w:tc>
          <w:tcPr>
            <w:tcW w:w="9357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D2E58" w:rsidRPr="007742D1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авт.-сост.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978-5-8154-0496-0.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42D1">
              <w:rPr>
                <w:lang w:val="ru-RU"/>
              </w:rPr>
              <w:t xml:space="preserve"> </w:t>
            </w:r>
            <w:hyperlink r:id="rId14" w:history="1"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D6CB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/1154335</w:t>
              </w:r>
            </w:hyperlink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>
        <w:trPr>
          <w:trHeight w:hRule="exact" w:val="138"/>
        </w:trPr>
        <w:tc>
          <w:tcPr>
            <w:tcW w:w="9357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742D1">
              <w:rPr>
                <w:lang w:val="ru-RU"/>
              </w:rPr>
              <w:t xml:space="preserve"> </w:t>
            </w:r>
          </w:p>
        </w:tc>
      </w:tr>
    </w:tbl>
    <w:p w:rsidR="00ED2E58" w:rsidRPr="007742D1" w:rsidRDefault="007742D1">
      <w:pPr>
        <w:rPr>
          <w:sz w:val="0"/>
          <w:szCs w:val="0"/>
          <w:lang w:val="ru-RU"/>
        </w:rPr>
      </w:pPr>
      <w:r w:rsidRPr="007742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"/>
        <w:gridCol w:w="1979"/>
        <w:gridCol w:w="2801"/>
        <w:gridCol w:w="4281"/>
        <w:gridCol w:w="94"/>
      </w:tblGrid>
      <w:tr w:rsidR="00ED2E58" w:rsidTr="0077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E58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818"/>
        </w:trPr>
        <w:tc>
          <w:tcPr>
            <w:tcW w:w="269" w:type="dxa"/>
          </w:tcPr>
          <w:p w:rsidR="00ED2E58" w:rsidRDefault="00ED2E5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138"/>
        </w:trPr>
        <w:tc>
          <w:tcPr>
            <w:tcW w:w="269" w:type="dxa"/>
          </w:tcPr>
          <w:p w:rsidR="00ED2E58" w:rsidRDefault="00ED2E58"/>
        </w:tc>
        <w:tc>
          <w:tcPr>
            <w:tcW w:w="1979" w:type="dxa"/>
          </w:tcPr>
          <w:p w:rsidR="00ED2E58" w:rsidRDefault="00ED2E58"/>
        </w:tc>
        <w:tc>
          <w:tcPr>
            <w:tcW w:w="2801" w:type="dxa"/>
          </w:tcPr>
          <w:p w:rsidR="00ED2E58" w:rsidRDefault="00ED2E58"/>
        </w:tc>
        <w:tc>
          <w:tcPr>
            <w:tcW w:w="4281" w:type="dxa"/>
          </w:tcPr>
          <w:p w:rsidR="00ED2E58" w:rsidRDefault="00ED2E58"/>
        </w:tc>
        <w:tc>
          <w:tcPr>
            <w:tcW w:w="94" w:type="dxa"/>
          </w:tcPr>
          <w:p w:rsidR="00ED2E58" w:rsidRDefault="00ED2E58"/>
        </w:tc>
      </w:tr>
      <w:tr w:rsidR="00ED2E58" w:rsidRPr="007742D1" w:rsidTr="0077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Tr="007742D1">
        <w:trPr>
          <w:trHeight w:hRule="exact" w:val="270"/>
        </w:trPr>
        <w:tc>
          <w:tcPr>
            <w:tcW w:w="26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14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40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ED2E58"/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826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Pr="007742D1" w:rsidRDefault="00774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742D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Tr="007742D1">
        <w:trPr>
          <w:trHeight w:hRule="exact" w:val="555"/>
        </w:trPr>
        <w:tc>
          <w:tcPr>
            <w:tcW w:w="269" w:type="dxa"/>
          </w:tcPr>
          <w:p w:rsidR="00ED2E58" w:rsidRDefault="00ED2E58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E58" w:rsidRDefault="00774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4" w:type="dxa"/>
          </w:tcPr>
          <w:p w:rsidR="00ED2E58" w:rsidRDefault="00ED2E58"/>
        </w:tc>
      </w:tr>
      <w:tr w:rsidR="00ED2E58" w:rsidRPr="007742D1" w:rsidTr="0077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138"/>
        </w:trPr>
        <w:tc>
          <w:tcPr>
            <w:tcW w:w="26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2801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  <w:tc>
          <w:tcPr>
            <w:tcW w:w="94" w:type="dxa"/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  <w:tr w:rsidR="00ED2E58" w:rsidRPr="007742D1" w:rsidTr="007742D1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742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742D1">
              <w:rPr>
                <w:lang w:val="ru-RU"/>
              </w:rPr>
              <w:t xml:space="preserve"> </w:t>
            </w:r>
          </w:p>
          <w:p w:rsidR="00ED2E58" w:rsidRPr="007742D1" w:rsidRDefault="0077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742D1">
              <w:rPr>
                <w:lang w:val="ru-RU"/>
              </w:rPr>
              <w:t xml:space="preserve"> </w:t>
            </w:r>
            <w:r w:rsidRPr="00774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742D1">
              <w:rPr>
                <w:lang w:val="ru-RU"/>
              </w:rPr>
              <w:t xml:space="preserve"> </w:t>
            </w:r>
          </w:p>
        </w:tc>
      </w:tr>
      <w:tr w:rsidR="00ED2E58" w:rsidRPr="007742D1" w:rsidTr="007742D1">
        <w:trPr>
          <w:trHeight w:hRule="exact" w:val="3412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E58" w:rsidRPr="007742D1" w:rsidRDefault="00ED2E58">
            <w:pPr>
              <w:rPr>
                <w:lang w:val="ru-RU"/>
              </w:rPr>
            </w:pPr>
          </w:p>
        </w:tc>
      </w:tr>
    </w:tbl>
    <w:p w:rsidR="007742D1" w:rsidRDefault="007742D1">
      <w:pPr>
        <w:rPr>
          <w:lang w:val="ru-RU"/>
        </w:rPr>
      </w:pPr>
    </w:p>
    <w:p w:rsidR="007742D1" w:rsidRDefault="007742D1">
      <w:pPr>
        <w:rPr>
          <w:lang w:val="ru-RU"/>
        </w:rPr>
      </w:pPr>
      <w:r>
        <w:rPr>
          <w:lang w:val="ru-RU"/>
        </w:rPr>
        <w:br w:type="page"/>
      </w:r>
    </w:p>
    <w:p w:rsidR="007742D1" w:rsidRPr="002D6CB8" w:rsidRDefault="007742D1" w:rsidP="007742D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7742D1" w:rsidRPr="002D6CB8" w:rsidRDefault="007742D1" w:rsidP="007742D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7742D1" w:rsidRPr="002D6CB8" w:rsidRDefault="007742D1" w:rsidP="007742D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7742D1" w:rsidRPr="002D6CB8" w:rsidRDefault="007742D1" w:rsidP="00774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«Пропедевтика» предусмотрена аудиторная и внеаудиторная самостоятельная работа обучающихся.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выполнение практических работ.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Введение в композицию.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1.1. Тема: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Основные понятия и законы формальной композиции</w:t>
      </w: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1: 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Создание глоссария основных понятий.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2: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композиции – схемы.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3: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Поиск вариантов статики и динамики.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1.2. Тема: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Принципы организации формальной композиции</w:t>
      </w: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1: Дополнение гл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оссария новыми понятиями. Анализ формальных композиций.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2:</w:t>
      </w:r>
      <w:r w:rsidRPr="002D6CB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Введение в композицию декоративной линии. Смена доминанты.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3:</w:t>
      </w:r>
      <w:r w:rsidRPr="002D6CB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Нагружение различных частей композиции.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Усиление или ослабление отдельных элементов композиции.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1.3. Тема: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Тональные отношения и цвет в композиции</w:t>
      </w: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1: </w:t>
      </w:r>
      <w:r w:rsidRPr="002D6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Выполнение «позитивно-негативного» варианта.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2: </w:t>
      </w:r>
      <w:r w:rsidRPr="002D6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Поиск тонального шага в композиции.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3: </w:t>
      </w:r>
      <w:r w:rsidRPr="002D6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Выполнение ахроматической выразительной композиции.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Основы цвета в композиции.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2.1. Тема: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Ахроматические и фактурные композиции</w:t>
      </w: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1: 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Рельеф и фактура в образном решении формальных композиций, переводные, рисованные и образные фактуры. Создание фактур с помощью различных графических материалов, их соответствие фактурам на металле и в керамике. Фактуры и цвет.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2: 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Решение декоративной фактуры. Поиск вариантов на основе техногенных фактур.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 3: 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Уникальное графическое решение фактур и их сочетание с технологиями металла.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2.2. Тема: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Композиционное решение цвета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№1: </w:t>
      </w:r>
      <w:r w:rsidRPr="002D6CB8">
        <w:rPr>
          <w:rStyle w:val="a5"/>
          <w:rFonts w:ascii="Times New Roman" w:hAnsi="Times New Roman" w:cs="Times New Roman"/>
          <w:lang w:val="ru-RU"/>
        </w:rPr>
        <w:t xml:space="preserve">Поиск 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>символического значения цвета персональной формальной композиции. Обоснование.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Введение в композицию.</w:t>
      </w:r>
    </w:p>
    <w:p w:rsidR="007742D1" w:rsidRPr="002D6CB8" w:rsidRDefault="007742D1" w:rsidP="007742D1">
      <w:pPr>
        <w:pStyle w:val="095"/>
        <w:ind w:firstLine="0"/>
        <w:rPr>
          <w:b w:val="0"/>
          <w:szCs w:val="24"/>
        </w:rPr>
      </w:pPr>
      <w:r w:rsidRPr="002D6CB8">
        <w:rPr>
          <w:szCs w:val="24"/>
        </w:rPr>
        <w:t>ИДЗ № 1. Организация на плоскости формальной композиции из простейших геометрических форм.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видов композиции, статики и динамики при разработке несимметричной равновесной композиции геометрических фигур на плоскости.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В задании студенты учатся нахождению правильных соотношений простейших геометрических фигур в пределах одной изобразительной плоскости. На выбор предлагаются фигуры квадрата, треугольника, круга и их производных.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8-10 шт.).</w:t>
      </w:r>
    </w:p>
    <w:p w:rsidR="002D6CB8" w:rsidRDefault="002D6CB8" w:rsidP="007742D1">
      <w:pPr>
        <w:pStyle w:val="0951"/>
        <w:rPr>
          <w:szCs w:val="24"/>
        </w:rPr>
      </w:pPr>
    </w:p>
    <w:p w:rsidR="002D6CB8" w:rsidRDefault="002D6CB8" w:rsidP="007742D1">
      <w:pPr>
        <w:pStyle w:val="0951"/>
        <w:rPr>
          <w:szCs w:val="24"/>
        </w:rPr>
      </w:pPr>
    </w:p>
    <w:p w:rsidR="002D6CB8" w:rsidRPr="002D6CB8" w:rsidRDefault="002D6CB8" w:rsidP="007742D1">
      <w:pPr>
        <w:pStyle w:val="0951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lastRenderedPageBreak/>
        <w:t>ИДЗ № 2. Введение в композицию декоративной линии.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изменения образного решения формальной композиции при введении декоративной линии смягчающее или ужесточающее общее эмоциональное восприятие данной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 xml:space="preserve">В задании студенты изменяют характер и фактуру начертания линий тех геометрических фигур, которые они разрабатывали во втором задании. Таким образом, сочетание фигур, задействованных в композиции, приобретает различное эмоциональное звучание. 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1"/>
        <w:ind w:firstLine="0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3. Смена доминанты в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 закона композиционного центра и доминанты в конкретной композиции на примере усиления краев или центра формальной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В задании студенты изменяют жирность начертания линий отдельных геометрических фигур, составляющих данную композицию. В результате в композиции должно сохраниться равновесие, при том, что в качестве доминирующих фигур в ней будут усилены не те фигуры, которые имели большие размеры по сравнению с остальными.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1"/>
        <w:ind w:firstLine="0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4. Нагружение различных частей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закона единства и соподчинения всех частей композиции при внесении изменений в начертание линий формальной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В задании студенты, изменяя ширину и жирность линий, нагружает правую, левую, верхнюю или нижнюю части композиции, акцентирует внимание на центр или на края всей группы пересекающихся в композиции фигур. В результате студент для своей композиции выбирает наиболее подходящий вариант «нагруженности» композиции, сохраняющей основную выразительность ее как целого.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1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5. Выполнение «позитивно-негативного» варианта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способа организации композиции линией и пятном в процессе выполнения формальной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 xml:space="preserve">При выполнении задания студент распределяет черные и белые пятна внутри своей формальной композиции в шахматном порядке с учетом взаимного пересечения геометрических фигур, составляющих ее. Одна условно называется «позитив», а вторая «негатив». При разработке выбирается дальнейшее прочтение их как композиций, наиболее удачно выделяющихся на светлом или темном фонах. 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2-4 шт.).</w:t>
      </w:r>
    </w:p>
    <w:p w:rsidR="002D6CB8" w:rsidRDefault="002D6CB8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742D1" w:rsidRPr="002D6CB8" w:rsidRDefault="007742D1" w:rsidP="0077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Основы цвета в композиции.</w:t>
      </w: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1. Решение ахроматической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варьирования ахроматической эмоционально насыщенной формальной композиции на основе одного и того же сочетания геометрических элементов.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lastRenderedPageBreak/>
        <w:t>При выполнении задания студент распределяет ахроматическое сочетание серых тонов (от 4 до 7 шт. не более) по созданной им формальной композиции с учетом взаимного пересечения элементов в ней. Композиция должна при этом быть равновесной, эмоционально насыщенной и выразительной, с четко выраженной доминантой.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 или гуашью.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"/>
        <w:ind w:firstLine="0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2. Создание декоративной фактуры.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принципов создания эмоционально выразительной композиции  за счет введения фактуры и декоративного пятна.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При выполнении задания студент создает как рисованные фактуры (от 3-5 шт.) с включением шрифта, орнамента и прочего для придания всей формальной композиции эмоциональной выразительности. Наряду с этим применяются и переводные фактуры: дерево, кожа, металлическая сетка, ткань и т.п. (от 3-5 шт.)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1"/>
        <w:ind w:firstLine="0"/>
        <w:rPr>
          <w:szCs w:val="24"/>
        </w:rPr>
      </w:pPr>
    </w:p>
    <w:p w:rsidR="007742D1" w:rsidRPr="002D6CB8" w:rsidRDefault="007742D1" w:rsidP="007742D1">
      <w:pPr>
        <w:pStyle w:val="0951"/>
        <w:ind w:firstLine="0"/>
        <w:rPr>
          <w:b/>
          <w:szCs w:val="24"/>
        </w:rPr>
      </w:pPr>
      <w:r w:rsidRPr="002D6CB8">
        <w:rPr>
          <w:b/>
          <w:szCs w:val="24"/>
        </w:rPr>
        <w:t>ИДЗ № 3. Введение цветового акцента в ахроматической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закона смены доминанты и выделения композиционного центра при введении цвета в ахроматическую формальную композицию.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При выполнении задания студенты вводят яркое цветовое пятно в ахроматическую композицию в серых тонах с целью выделения в ней центра или смены центра, используя собственные разработки при смены доминанты внутри композиции за счет выделения отдельной фигуры линией.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 гуашью.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"/>
        <w:ind w:firstLine="0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4. Решение композиции в цвете.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изменения образа композиции и ее эмоциональной насыщенности при введении в нее цвета.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При выполнении задания студенты исполняют свою композиции в тепло-холодном, колорите на сближенные, сближено-контрастные, контрастно-дополнительные сочетания с учетом того ахроматического распределения тонов, которое было им выполнено в 7 задании. В результате получаются различные эмоционально насыщенные композиции в зависимости от выбранной гаммы и вида гармонизации группы цветов.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цветным карандашом, цветной тушью или гуашью.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Состав задания: идеи, наброски, обладающие достаточной информативностью и имеющие законченное графическое оформление (примерно 3-4 шт.).</w:t>
      </w:r>
    </w:p>
    <w:p w:rsidR="007742D1" w:rsidRPr="002D6CB8" w:rsidRDefault="007742D1" w:rsidP="007742D1">
      <w:pPr>
        <w:pStyle w:val="095"/>
        <w:ind w:firstLine="0"/>
        <w:rPr>
          <w:szCs w:val="24"/>
        </w:rPr>
      </w:pPr>
    </w:p>
    <w:p w:rsidR="007742D1" w:rsidRPr="002D6CB8" w:rsidRDefault="007742D1" w:rsidP="007742D1">
      <w:pPr>
        <w:pStyle w:val="095"/>
        <w:ind w:firstLine="0"/>
        <w:rPr>
          <w:szCs w:val="24"/>
        </w:rPr>
      </w:pPr>
      <w:r w:rsidRPr="002D6CB8">
        <w:rPr>
          <w:szCs w:val="24"/>
        </w:rPr>
        <w:t>ИДЗ № 5. Создание иллюзии рельефа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Цель задания: изучение на практике тектоники, пропорциональности при создании иллюзии рельефа графической композиции.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При выполнении задания студент используя декоративный штрих, технику пуанте или другими изобразительными средствами создают у зрителя иллюзию рельфно выступающих геометрических тел на плоскости листа.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t>Задание выполняется на листах формата А4, карандашом, тушью или гелиевой ручкой.</w:t>
      </w:r>
    </w:p>
    <w:p w:rsidR="007742D1" w:rsidRPr="002D6CB8" w:rsidRDefault="007742D1" w:rsidP="007742D1">
      <w:pPr>
        <w:pStyle w:val="0951"/>
        <w:rPr>
          <w:szCs w:val="24"/>
        </w:rPr>
      </w:pPr>
      <w:r w:rsidRPr="002D6CB8">
        <w:rPr>
          <w:szCs w:val="24"/>
        </w:rPr>
        <w:lastRenderedPageBreak/>
        <w:t>Состав задания: идеи, наброски, обладающие достаточной информативностью и имеющие законченное графическое оформление (примерно 3-5 шт.).</w:t>
      </w:r>
    </w:p>
    <w:p w:rsidR="007742D1" w:rsidRPr="002D6CB8" w:rsidRDefault="007742D1" w:rsidP="007742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42D1" w:rsidRPr="002D6CB8" w:rsidRDefault="007742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742D1" w:rsidRPr="002D6CB8" w:rsidRDefault="007742D1" w:rsidP="007742D1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7742D1" w:rsidRPr="002D6CB8" w:rsidRDefault="007742D1" w:rsidP="007742D1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D6CB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8"/>
        <w:gridCol w:w="2736"/>
        <w:gridCol w:w="5708"/>
      </w:tblGrid>
      <w:tr w:rsidR="007742D1" w:rsidRPr="002D6CB8" w:rsidTr="007742D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742D1" w:rsidRPr="002D6CB8" w:rsidTr="007742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ОК-1</w:t>
            </w: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способностью к абстрактному мышлению, анализу, синтезу</w:t>
            </w:r>
          </w:p>
        </w:tc>
      </w:tr>
      <w:tr w:rsidR="007742D1" w:rsidRPr="002D6CB8" w:rsidTr="007742D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определения и понятия композиции;</w:t>
            </w:r>
          </w:p>
          <w:p w:rsidR="007742D1" w:rsidRPr="002D6CB8" w:rsidRDefault="007742D1" w:rsidP="007742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типы, формы и приемы композиции;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Формальная композиция.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Типы композиций.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Формы композиции.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Приемы композиции.</w:t>
            </w:r>
          </w:p>
        </w:tc>
      </w:tr>
      <w:tr w:rsidR="007742D1" w:rsidRPr="002D6CB8" w:rsidTr="007742D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пользоваться основными приемами и средствами гармонизации формальной композиции;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статичную композицию.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sz w:val="24"/>
                <w:szCs w:val="24"/>
              </w:rPr>
              <w:t>Выполните динамичную композицию.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основных средств и приемов, использующихся для создания гармоничной формальной композиции;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симметричную композицию с помощью геометрических фигур.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асимметричную композицию с помощью геометрических фигур.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№ 3.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Выполните проявления асимметрии в симметричных формах.</w:t>
            </w:r>
          </w:p>
        </w:tc>
      </w:tr>
      <w:tr w:rsidR="007742D1" w:rsidRPr="002D6CB8" w:rsidTr="007742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ОК-3</w:t>
            </w: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2D6C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7742D1" w:rsidRPr="002D6CB8" w:rsidTr="007742D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основные признаки формальной композиции;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основные законы формальной композиции;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Единство.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Соподчинение.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Равновесие.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Законы формальной композиции.</w:t>
            </w:r>
          </w:p>
        </w:tc>
      </w:tr>
      <w:tr w:rsidR="007742D1" w:rsidRPr="002D6CB8" w:rsidTr="007742D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находить проявления асимметрии в симметричных формах;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 помощью сгруппированности простых элементов выразите композиционный центр.</w:t>
            </w:r>
          </w:p>
          <w:p w:rsidR="007742D1" w:rsidRPr="002D6CB8" w:rsidRDefault="007742D1" w:rsidP="00774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 помощью сгруппированности простых элементов выразите геометрический центр.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возможностей декоративной линии и фактуры в формальных композициях;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lang w:val="ru-RU"/>
              </w:rPr>
              <w:t>С помощью сгруппированности сложных элементов выразите композиционный центр.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lang w:val="ru-RU"/>
              </w:rPr>
              <w:t>С помощью сгруппированности сложных элементов выразите геометрический центр.</w:t>
            </w:r>
          </w:p>
        </w:tc>
      </w:tr>
      <w:tr w:rsidR="007742D1" w:rsidRPr="002D6CB8" w:rsidTr="007742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ОПК-1</w:t>
            </w: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2D6C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D6C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образного и эмоционального восприятия формы;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символическое значение цвета во взаимосвязи с формой;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Символическое значение цвета во взаимосвязи с формой и местом расположения в композиции.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Роль конструктивных построений в понимании пространственных построений для рельефных, объемных и пространственных композиций.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цветового акцента в ахроматическую композицию.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уравновешивать ахроматические пятна внутри формальной композиции;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введение цветового акцента в ахроматической композиции.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Выполните однотоновые ритмичные композиции с передачей эффекта переплетения.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создания эмоционально насыщенных, образных, формальных композиций;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Практическое задание: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Взяв за основу «спираль» выполните несколько вариантов динамичных композиций.</w:t>
            </w:r>
          </w:p>
        </w:tc>
      </w:tr>
      <w:tr w:rsidR="007742D1" w:rsidRPr="002D6CB8" w:rsidTr="007742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ПК-3</w:t>
            </w: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цвето-фактурную выразительность формальных композиций;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соответствие тоновых и цветовых выразительных контрастов;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Цвето-фактурная выразительность формальных композиций.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Соответствие тоновых и цветовых выразительных контрастов.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декоративные объекты и композиции с позиции формального подхода;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решение композиции в цвете.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Выполните ритмичную композицию с использованием объемных элементов и цвета.</w:t>
            </w:r>
          </w:p>
        </w:tc>
      </w:tr>
      <w:tr w:rsidR="007742D1" w:rsidRPr="002D6CB8" w:rsidTr="007742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создания формальных уравновешенных композиций, предполагаемых к воплощению в художественном металле различными техниками.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1.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Выполните композиции с использованием объемных форм.</w:t>
            </w:r>
          </w:p>
          <w:p w:rsidR="007742D1" w:rsidRPr="002D6CB8" w:rsidRDefault="007742D1" w:rsidP="0077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D6CB8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Задание № 2. </w:t>
            </w:r>
            <w:r w:rsidRPr="002D6CB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Выполните композицию с помощью линий разных по форме, толщине и размеру.</w:t>
            </w:r>
          </w:p>
        </w:tc>
      </w:tr>
    </w:tbl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742D1" w:rsidRPr="002D6CB8" w:rsidSect="007742D1">
          <w:pgSz w:w="11907" w:h="16840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7742D1" w:rsidRPr="002D6CB8" w:rsidRDefault="007742D1" w:rsidP="00774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742D1" w:rsidRPr="002D6CB8" w:rsidRDefault="007742D1" w:rsidP="0077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7742D1" w:rsidRPr="002D6CB8" w:rsidRDefault="007742D1" w:rsidP="00774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742D1" w:rsidRPr="002D6CB8" w:rsidRDefault="007742D1" w:rsidP="0077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D6CB8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D6CB8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2E58" w:rsidRPr="002D6CB8" w:rsidRDefault="00ED2E5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2E58" w:rsidRPr="002D6CB8" w:rsidSect="007742D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6CB8"/>
    <w:rsid w:val="007742D1"/>
    <w:rsid w:val="00D31453"/>
    <w:rsid w:val="00E209E2"/>
    <w:rsid w:val="00ED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D1"/>
    <w:rPr>
      <w:rFonts w:ascii="Tahoma" w:hAnsi="Tahoma" w:cs="Tahoma"/>
      <w:sz w:val="16"/>
      <w:szCs w:val="16"/>
    </w:rPr>
  </w:style>
  <w:style w:type="character" w:customStyle="1" w:styleId="a5">
    <w:name w:val="Стиль полужирный Знак"/>
    <w:link w:val="a6"/>
    <w:locked/>
    <w:rsid w:val="007742D1"/>
    <w:rPr>
      <w:b/>
      <w:bCs/>
      <w:sz w:val="24"/>
      <w:szCs w:val="24"/>
    </w:rPr>
  </w:style>
  <w:style w:type="paragraph" w:customStyle="1" w:styleId="a6">
    <w:name w:val="Стиль полужирный"/>
    <w:basedOn w:val="a"/>
    <w:next w:val="a"/>
    <w:link w:val="a5"/>
    <w:autoRedefine/>
    <w:rsid w:val="007742D1"/>
    <w:pPr>
      <w:spacing w:after="0" w:line="240" w:lineRule="auto"/>
      <w:ind w:firstLine="567"/>
      <w:jc w:val="both"/>
    </w:pPr>
    <w:rPr>
      <w:b/>
      <w:bCs/>
      <w:sz w:val="24"/>
      <w:szCs w:val="24"/>
    </w:rPr>
  </w:style>
  <w:style w:type="paragraph" w:customStyle="1" w:styleId="0951">
    <w:name w:val="Стиль Стиль По ширине Первая строка:  095 см + Слева:  1 см Первая..."/>
    <w:basedOn w:val="a"/>
    <w:autoRedefine/>
    <w:rsid w:val="007742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095">
    <w:name w:val="Стиль Стиль По ширине Первая строка:  095 см + полужирный Слева:  ..."/>
    <w:basedOn w:val="a"/>
    <w:autoRedefine/>
    <w:rsid w:val="007742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2D6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47.pdf&amp;show=dcatalogues/1/1138525/3347.pdf&amp;view=true" TargetMode="External"/><Relationship Id="rId13" Type="http://schemas.openxmlformats.org/officeDocument/2006/relationships/hyperlink" Target="https://studfile.net/download.php?id=5759035&amp;code=097166f7f1d46f6cd007609181f7ffb9&amp;download-status=process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2707.pdf&amp;show=dcatalogues/1/1131769/2707.pdf&amp;view=true" TargetMode="External"/><Relationship Id="rId12" Type="http://schemas.openxmlformats.org/officeDocument/2006/relationships/hyperlink" Target="https://studfile.net/preview/575903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20434" TargetMode="External"/><Relationship Id="rId11" Type="http://schemas.openxmlformats.org/officeDocument/2006/relationships/hyperlink" Target="https://znanium.com/catalog/product/1020521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aliveline.ru/lib/ArtOfForm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vidreaders.ru/book/iskusstvo-cveta.html" TargetMode="External"/><Relationship Id="rId14" Type="http://schemas.openxmlformats.org/officeDocument/2006/relationships/hyperlink" Target="https://znanium.com/catalog/product/1154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3428</Words>
  <Characters>26769</Characters>
  <Application>Microsoft Office Word</Application>
  <DocSecurity>0</DocSecurity>
  <Lines>223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2020-2021_b54_03_02-СДПб-20_67_plx_Пропедевтика</vt:lpstr>
      <vt:lpstr>Лист1</vt:lpstr>
    </vt:vector>
  </TitlesOfParts>
  <Company/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2020-2021_b54_03_02-СДПб-20_67_plx_Пропедевтика</dc:title>
  <dc:creator>FastReport.NET</dc:creator>
  <cp:lastModifiedBy>1</cp:lastModifiedBy>
  <cp:revision>2</cp:revision>
  <dcterms:created xsi:type="dcterms:W3CDTF">2020-11-20T08:40:00Z</dcterms:created>
  <dcterms:modified xsi:type="dcterms:W3CDTF">2020-11-20T08:54:00Z</dcterms:modified>
</cp:coreProperties>
</file>